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3F078" w14:textId="77777777" w:rsidR="0097768A" w:rsidRDefault="0097768A" w:rsidP="000D0CEC">
      <w:pPr>
        <w:pStyle w:val="STPR2Title2"/>
        <w:spacing w:after="240"/>
        <w:rPr>
          <w:lang w:val="en-GB"/>
        </w:rPr>
      </w:pPr>
    </w:p>
    <w:p w14:paraId="2E135AB9" w14:textId="77777777" w:rsidR="0097768A" w:rsidRDefault="0097768A" w:rsidP="000D0CEC">
      <w:pPr>
        <w:pStyle w:val="STPR2Title2"/>
        <w:spacing w:after="240"/>
        <w:rPr>
          <w:lang w:val="en-GB"/>
        </w:rPr>
      </w:pPr>
    </w:p>
    <w:p w14:paraId="1B756CB5" w14:textId="77777777" w:rsidR="0097768A" w:rsidRDefault="0097768A" w:rsidP="000D0CEC">
      <w:pPr>
        <w:pStyle w:val="STPR2Title2"/>
        <w:spacing w:after="240"/>
        <w:rPr>
          <w:lang w:val="en-GB"/>
        </w:rPr>
      </w:pPr>
    </w:p>
    <w:p w14:paraId="361D987C" w14:textId="77777777" w:rsidR="0097768A" w:rsidRDefault="0097768A" w:rsidP="000D0CEC">
      <w:pPr>
        <w:pStyle w:val="STPR2Title2"/>
        <w:spacing w:after="240"/>
        <w:rPr>
          <w:lang w:val="en-GB"/>
        </w:rPr>
      </w:pPr>
    </w:p>
    <w:p w14:paraId="5E457C6E" w14:textId="77777777" w:rsidR="0097768A" w:rsidRDefault="0097768A" w:rsidP="000D0CEC">
      <w:pPr>
        <w:pStyle w:val="STPR2Title2"/>
        <w:spacing w:after="240"/>
        <w:rPr>
          <w:lang w:val="en-GB"/>
        </w:rPr>
      </w:pPr>
    </w:p>
    <w:p w14:paraId="294BB071" w14:textId="77777777" w:rsidR="0097768A" w:rsidRDefault="0097768A" w:rsidP="000D0CEC">
      <w:pPr>
        <w:pStyle w:val="STPR2Title2"/>
        <w:spacing w:after="240"/>
        <w:rPr>
          <w:lang w:val="en-GB"/>
        </w:rPr>
      </w:pPr>
    </w:p>
    <w:p w14:paraId="7B75D25F" w14:textId="77777777" w:rsidR="0097768A" w:rsidRDefault="0097768A" w:rsidP="000D0CEC">
      <w:pPr>
        <w:pStyle w:val="STPR2Title2"/>
        <w:spacing w:after="240"/>
        <w:rPr>
          <w:lang w:val="en-GB"/>
        </w:rPr>
      </w:pPr>
    </w:p>
    <w:p w14:paraId="175E995E" w14:textId="77777777" w:rsidR="0097768A" w:rsidRDefault="0097768A" w:rsidP="000D0CEC">
      <w:pPr>
        <w:pStyle w:val="STPR2Title2"/>
        <w:spacing w:after="240"/>
        <w:rPr>
          <w:lang w:val="en-GB"/>
        </w:rPr>
      </w:pPr>
    </w:p>
    <w:p w14:paraId="461BE459" w14:textId="77777777" w:rsidR="0097768A" w:rsidRDefault="0097768A" w:rsidP="000D0CEC">
      <w:pPr>
        <w:pStyle w:val="STPR2Title2"/>
        <w:spacing w:after="240"/>
        <w:rPr>
          <w:lang w:val="en-GB"/>
        </w:rPr>
      </w:pPr>
    </w:p>
    <w:p w14:paraId="14E2A9D1" w14:textId="77777777" w:rsidR="0097768A" w:rsidRDefault="0097768A" w:rsidP="000D0CEC">
      <w:pPr>
        <w:pStyle w:val="STPR2Title2"/>
        <w:spacing w:after="240"/>
        <w:rPr>
          <w:lang w:val="en-GB"/>
        </w:rPr>
      </w:pPr>
    </w:p>
    <w:p w14:paraId="57123D66" w14:textId="77777777" w:rsidR="0097768A" w:rsidRDefault="0097768A" w:rsidP="000D0CEC">
      <w:pPr>
        <w:pStyle w:val="STPR2Title2"/>
        <w:spacing w:after="240"/>
        <w:rPr>
          <w:lang w:val="en-GB"/>
        </w:rPr>
      </w:pPr>
    </w:p>
    <w:p w14:paraId="7A4F9088" w14:textId="77777777" w:rsidR="0097768A" w:rsidRDefault="0097768A" w:rsidP="000D0CEC">
      <w:pPr>
        <w:pStyle w:val="STPR2Title2"/>
        <w:spacing w:after="240"/>
        <w:rPr>
          <w:lang w:val="en-GB"/>
        </w:rPr>
      </w:pPr>
    </w:p>
    <w:p w14:paraId="1E1C9A52" w14:textId="77777777" w:rsidR="0097768A" w:rsidRDefault="0097768A" w:rsidP="000D0CEC">
      <w:pPr>
        <w:pStyle w:val="STPR2Title2"/>
        <w:spacing w:after="240"/>
        <w:rPr>
          <w:lang w:val="en-GB"/>
        </w:rPr>
      </w:pPr>
    </w:p>
    <w:p w14:paraId="53D3D35D" w14:textId="77777777" w:rsidR="0097768A" w:rsidRDefault="0097768A" w:rsidP="000D0CEC">
      <w:pPr>
        <w:pStyle w:val="STPR2Title2"/>
        <w:spacing w:after="240"/>
        <w:rPr>
          <w:lang w:val="en-GB"/>
        </w:rPr>
      </w:pPr>
    </w:p>
    <w:p w14:paraId="0D496D42" w14:textId="77777777" w:rsidR="0097768A" w:rsidRDefault="0097768A" w:rsidP="000D0CEC">
      <w:pPr>
        <w:pStyle w:val="STPR2Title2"/>
        <w:spacing w:after="240"/>
        <w:rPr>
          <w:lang w:val="en-GB"/>
        </w:rPr>
      </w:pPr>
    </w:p>
    <w:p w14:paraId="31416D93" w14:textId="77777777" w:rsidR="0097768A" w:rsidRDefault="0097768A" w:rsidP="000D0CEC">
      <w:pPr>
        <w:pStyle w:val="STPR2Title2"/>
        <w:spacing w:after="240"/>
        <w:rPr>
          <w:lang w:val="en-GB"/>
        </w:rPr>
      </w:pPr>
    </w:p>
    <w:p w14:paraId="6E05C778" w14:textId="77777777" w:rsidR="0097768A" w:rsidRDefault="0097768A" w:rsidP="000D0CEC">
      <w:pPr>
        <w:pStyle w:val="STPR2Title2"/>
        <w:spacing w:after="240"/>
        <w:rPr>
          <w:lang w:val="en-GB"/>
        </w:rPr>
      </w:pPr>
    </w:p>
    <w:p w14:paraId="6799A2E6" w14:textId="77777777" w:rsidR="00DC3E0F" w:rsidRDefault="00DC3E0F" w:rsidP="006F53DF">
      <w:pPr>
        <w:pStyle w:val="STPR2Title3"/>
        <w:rPr>
          <w:sz w:val="36"/>
          <w:szCs w:val="36"/>
          <w:lang w:val="en-GB"/>
        </w:rPr>
      </w:pPr>
    </w:p>
    <w:p w14:paraId="4CC06F4C" w14:textId="62DDFCC9" w:rsidR="006109F3" w:rsidRDefault="00F53FEC" w:rsidP="006F53DF">
      <w:pPr>
        <w:pStyle w:val="STPR2Title3"/>
        <w:rPr>
          <w:lang w:val="en-GB"/>
        </w:rPr>
      </w:pPr>
      <w:r>
        <w:rPr>
          <w:sz w:val="36"/>
          <w:szCs w:val="36"/>
          <w:lang w:val="en-GB"/>
        </w:rPr>
        <w:t xml:space="preserve">Appendix I Recommendation Appraisal Summary Tables </w:t>
      </w:r>
      <w:r w:rsidR="00DC3E0F" w:rsidRPr="00DC3E0F">
        <w:rPr>
          <w:sz w:val="36"/>
          <w:szCs w:val="36"/>
          <w:lang w:val="en-GB"/>
        </w:rPr>
        <w:t>–</w:t>
      </w:r>
      <w:r w:rsidR="008359C6">
        <w:rPr>
          <w:sz w:val="36"/>
          <w:szCs w:val="36"/>
          <w:lang w:val="en-GB"/>
        </w:rPr>
        <w:t xml:space="preserve"> </w:t>
      </w:r>
      <w:r w:rsidR="000775BE">
        <w:rPr>
          <w:sz w:val="36"/>
          <w:szCs w:val="36"/>
          <w:lang w:val="en-GB"/>
        </w:rPr>
        <w:t xml:space="preserve">Explanatory </w:t>
      </w:r>
      <w:r w:rsidR="007E3759">
        <w:rPr>
          <w:sz w:val="36"/>
          <w:szCs w:val="36"/>
          <w:lang w:val="en-GB"/>
        </w:rPr>
        <w:t>Note</w:t>
      </w:r>
    </w:p>
    <w:p w14:paraId="340CA60B" w14:textId="77777777" w:rsidR="00DC3E0F" w:rsidRDefault="00DC3E0F" w:rsidP="006F53DF">
      <w:pPr>
        <w:pStyle w:val="STPR2Title3"/>
        <w:rPr>
          <w:lang w:val="en-GB"/>
        </w:rPr>
      </w:pPr>
    </w:p>
    <w:p w14:paraId="53DC2799" w14:textId="1B3D18AB" w:rsidR="00DC3E0F" w:rsidRPr="00E645D5" w:rsidRDefault="00FE4E1A" w:rsidP="006F53DF">
      <w:pPr>
        <w:pStyle w:val="STPR2Title3"/>
        <w:rPr>
          <w:lang w:val="en-GB"/>
        </w:rPr>
        <w:sectPr w:rsidR="00DC3E0F" w:rsidRPr="00E645D5" w:rsidSect="004A26E8">
          <w:headerReference w:type="default" r:id="rId12"/>
          <w:type w:val="nextColumn"/>
          <w:pgSz w:w="11906" w:h="16838" w:code="9"/>
          <w:pgMar w:top="1701" w:right="1138" w:bottom="1138" w:left="1138" w:header="454" w:footer="567" w:gutter="0"/>
          <w:cols w:space="720"/>
          <w:noEndnote/>
          <w:docGrid w:linePitch="299"/>
        </w:sectPr>
      </w:pPr>
      <w:r>
        <w:rPr>
          <w:lang w:val="en-GB"/>
        </w:rPr>
        <w:t>December</w:t>
      </w:r>
      <w:r w:rsidR="00DC3E0F">
        <w:rPr>
          <w:lang w:val="en-GB"/>
        </w:rPr>
        <w:t xml:space="preserve"> 202</w:t>
      </w:r>
      <w:r w:rsidR="003B77FA">
        <w:rPr>
          <w:lang w:val="en-GB"/>
        </w:rPr>
        <w:t>2</w:t>
      </w:r>
    </w:p>
    <w:p w14:paraId="40004831" w14:textId="6CF26425" w:rsidR="00CB5A18" w:rsidRPr="00F53FEC" w:rsidRDefault="00693397" w:rsidP="00F53FEC">
      <w:pPr>
        <w:pStyle w:val="STPR2Heading1"/>
        <w:rPr>
          <w:color w:val="auto"/>
        </w:rPr>
      </w:pPr>
      <w:r w:rsidRPr="00F53FEC">
        <w:rPr>
          <w:color w:val="auto"/>
        </w:rPr>
        <w:lastRenderedPageBreak/>
        <w:t>Introduction</w:t>
      </w:r>
    </w:p>
    <w:p w14:paraId="23CB33AF" w14:textId="0805914D" w:rsidR="00693397" w:rsidRPr="00F53FEC" w:rsidRDefault="00693397" w:rsidP="00693397">
      <w:pPr>
        <w:pStyle w:val="BodyText"/>
      </w:pPr>
      <w:r w:rsidRPr="00F53FEC">
        <w:t xml:space="preserve">This introduction to </w:t>
      </w:r>
      <w:r w:rsidR="00F53FEC" w:rsidRPr="00F53FEC">
        <w:t xml:space="preserve">Appendix I </w:t>
      </w:r>
      <w:r w:rsidRPr="00F53FEC">
        <w:t xml:space="preserve">Recommendation Appraisal Summary Tables (ASTs) provides additional background information as an aid to the interpretation of the </w:t>
      </w:r>
      <w:r w:rsidR="00F53FEC" w:rsidRPr="00F53FEC">
        <w:t xml:space="preserve">Recommendation </w:t>
      </w:r>
      <w:r w:rsidRPr="00F53FEC">
        <w:t>ASTs</w:t>
      </w:r>
      <w:r w:rsidR="00F53FEC">
        <w:t xml:space="preserve"> that make up the rest of this appendix</w:t>
      </w:r>
      <w:r w:rsidRPr="00F53FEC">
        <w:t xml:space="preserve"> and includes the following: </w:t>
      </w:r>
    </w:p>
    <w:p w14:paraId="37330DBE" w14:textId="4B7836CE" w:rsidR="00693397" w:rsidRPr="00F53FEC" w:rsidRDefault="00693397" w:rsidP="00693397">
      <w:pPr>
        <w:pStyle w:val="STPR2BulletsLevel1"/>
      </w:pPr>
      <w:r w:rsidRPr="00F53FEC">
        <w:t>Section 2 - STPR2 Recommendations: A list of the 45 STPR2 recommendations;</w:t>
      </w:r>
    </w:p>
    <w:p w14:paraId="3CA30798" w14:textId="4448291F" w:rsidR="00693397" w:rsidRPr="00F53FEC" w:rsidRDefault="00693397" w:rsidP="00693397">
      <w:pPr>
        <w:pStyle w:val="STPR2BulletsLevel1"/>
      </w:pPr>
      <w:r w:rsidRPr="00F53FEC">
        <w:t xml:space="preserve">Section 3 - Sustainable Investment Hierarchy and the second National Transport Strategy (NTS2) Outcomes: A description of the Sustainable Investment Hierarchy and a list of the NTS2 outcomes which the STPR2 Recommendations are designed to support; </w:t>
      </w:r>
    </w:p>
    <w:p w14:paraId="55671654" w14:textId="027B1366" w:rsidR="00693397" w:rsidRPr="00F53FEC" w:rsidRDefault="00693397" w:rsidP="00693397">
      <w:pPr>
        <w:pStyle w:val="STPR2BulletsLevel1"/>
      </w:pPr>
      <w:r w:rsidRPr="00F53FEC">
        <w:t xml:space="preserve">Section 4 - Appraisal Scoring System: An explanation of the appraisal scoring system used in STPR2; </w:t>
      </w:r>
    </w:p>
    <w:p w14:paraId="6ED0729F" w14:textId="17937323" w:rsidR="00693397" w:rsidRPr="00F53FEC" w:rsidRDefault="00693397" w:rsidP="00693397">
      <w:pPr>
        <w:pStyle w:val="STPR2BulletsLevel1"/>
      </w:pPr>
      <w:r w:rsidRPr="00F53FEC">
        <w:t>Section 5 - Assessment Criteria: A list of all the assessment criteria used in STPR2 and confirmation of the cost bandings that have been applied to estimate the capital costs of STPR2 Recommendations; and</w:t>
      </w:r>
    </w:p>
    <w:p w14:paraId="4FE87905" w14:textId="46CF775C" w:rsidR="00693397" w:rsidRPr="00F53FEC" w:rsidRDefault="00693397" w:rsidP="00693397">
      <w:pPr>
        <w:pStyle w:val="STPR2BulletsLevel1"/>
        <w:numPr>
          <w:ilvl w:val="0"/>
          <w:numId w:val="0"/>
        </w:numPr>
        <w:ind w:left="360"/>
      </w:pPr>
      <w:r w:rsidRPr="00F53FEC">
        <w:t>Section 6 - Glossary of Terms: Definitions of technical terms and acronyms.</w:t>
      </w:r>
    </w:p>
    <w:p w14:paraId="187AC249" w14:textId="77777777" w:rsidR="00693397" w:rsidRPr="00F53FEC" w:rsidRDefault="00693397" w:rsidP="00693397">
      <w:pPr>
        <w:pStyle w:val="STPR2Title3"/>
        <w:jc w:val="left"/>
        <w:rPr>
          <w:color w:val="auto"/>
        </w:rPr>
      </w:pPr>
    </w:p>
    <w:p w14:paraId="4304A217" w14:textId="497014F9" w:rsidR="00693397" w:rsidRPr="00F53FEC" w:rsidRDefault="00693397" w:rsidP="00F53FEC">
      <w:pPr>
        <w:pStyle w:val="STPR2Heading1"/>
        <w:rPr>
          <w:color w:val="auto"/>
        </w:rPr>
      </w:pPr>
      <w:r w:rsidRPr="00F53FEC">
        <w:rPr>
          <w:color w:val="auto"/>
        </w:rPr>
        <w:t>STPR2 Recommendations</w:t>
      </w:r>
    </w:p>
    <w:p w14:paraId="6BE1800D" w14:textId="77777777" w:rsidR="00F53FEC" w:rsidRPr="00F53FEC" w:rsidRDefault="00F53FEC" w:rsidP="00F53FEC">
      <w:pPr>
        <w:pStyle w:val="STPR2Title3"/>
        <w:ind w:left="720"/>
        <w:jc w:val="left"/>
        <w:rPr>
          <w:color w:val="auto"/>
        </w:rPr>
      </w:pPr>
    </w:p>
    <w:p w14:paraId="3F073E1E"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bookmarkStart w:id="0" w:name="_Ref105504679"/>
      <w:r w:rsidRPr="00F53FEC">
        <w:t>Connected neighbourhoods</w:t>
      </w:r>
    </w:p>
    <w:p w14:paraId="13E6E4F6"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Active freeways and cycle parking hubs</w:t>
      </w:r>
    </w:p>
    <w:p w14:paraId="1BEA5F9A"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Village-town active travel connections</w:t>
      </w:r>
    </w:p>
    <w:p w14:paraId="09624D32"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Connecting towns by active travel</w:t>
      </w:r>
    </w:p>
    <w:p w14:paraId="1B383E20"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Long-distance active travel network</w:t>
      </w:r>
    </w:p>
    <w:p w14:paraId="57B405A0"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Behavioural change initiatives</w:t>
      </w:r>
    </w:p>
    <w:p w14:paraId="3048A737"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Changing road user behaviour</w:t>
      </w:r>
    </w:p>
    <w:p w14:paraId="6E43A585"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Increasing active travel to school</w:t>
      </w:r>
    </w:p>
    <w:p w14:paraId="3431D687"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Improving access to bikes</w:t>
      </w:r>
    </w:p>
    <w:p w14:paraId="76FFD294"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Expansion of 20mph limits and zones</w:t>
      </w:r>
    </w:p>
    <w:p w14:paraId="4F3E7A4A"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Clyde Metro</w:t>
      </w:r>
    </w:p>
    <w:p w14:paraId="2AE652E8"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Edinburgh &amp; South East Scotland Mass Transit</w:t>
      </w:r>
    </w:p>
    <w:p w14:paraId="610768F1"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Aberdeen Rapid Transit</w:t>
      </w:r>
    </w:p>
    <w:p w14:paraId="7451DD82"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Provision of strategic bus priority measures</w:t>
      </w:r>
    </w:p>
    <w:p w14:paraId="03ABBD04"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Highland Main Line rail corridor enhancements</w:t>
      </w:r>
    </w:p>
    <w:p w14:paraId="6E7EEE6F"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Perth-Dundee-Aberdeen rail corridor enhancements</w:t>
      </w:r>
    </w:p>
    <w:p w14:paraId="168E0A11"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Edinburgh/Glasgow-Perth/Dundee rail corridor enhancements</w:t>
      </w:r>
    </w:p>
    <w:p w14:paraId="6224FDD3"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Supporting integrated journeys at ferry terminals</w:t>
      </w:r>
    </w:p>
    <w:p w14:paraId="402A64B7"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Infrastructure to provide access for all at railway stations</w:t>
      </w:r>
    </w:p>
    <w:p w14:paraId="35668AE3"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Investment in Demand Responsive Transport and Mobility as a Service</w:t>
      </w:r>
    </w:p>
    <w:p w14:paraId="39EAE81A"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Improved public transport passenger interchange facilities</w:t>
      </w:r>
    </w:p>
    <w:p w14:paraId="03D70BC9"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Framework for the delivery of mobility hubs</w:t>
      </w:r>
    </w:p>
    <w:p w14:paraId="6BEBC56E"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Smart, integrated public transport ticketing</w:t>
      </w:r>
    </w:p>
    <w:p w14:paraId="4F01FBA1"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Ferry vessel renewal and replacement, and progressive decarbonisation</w:t>
      </w:r>
    </w:p>
    <w:p w14:paraId="1A1F3445"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Decarbonisation of the rail network</w:t>
      </w:r>
    </w:p>
    <w:p w14:paraId="3A24FA4E"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Decarbonisation of the bus network</w:t>
      </w:r>
    </w:p>
    <w:p w14:paraId="37A367DD"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lastRenderedPageBreak/>
        <w:t>Behavioural change and modal shift for freight</w:t>
      </w:r>
    </w:p>
    <w:p w14:paraId="12D467D9"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Zero emission vehicles and infrastructure transition</w:t>
      </w:r>
    </w:p>
    <w:p w14:paraId="79A0AC25"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Access to Argyll (A83)</w:t>
      </w:r>
    </w:p>
    <w:p w14:paraId="23F9101D"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Trunk road and motorway safety improvements to progress towards ‘Vision Zero’</w:t>
      </w:r>
    </w:p>
    <w:p w14:paraId="24EBE800"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Trunk road and motorway network climate change adaptation and resilience</w:t>
      </w:r>
    </w:p>
    <w:p w14:paraId="09301C13"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Trunk road and motorway network renewal for reliability, resilience and safety</w:t>
      </w:r>
    </w:p>
    <w:p w14:paraId="15B1B0BD"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Future Intelligent Transport Systems</w:t>
      </w:r>
    </w:p>
    <w:p w14:paraId="5CD6001A"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Traffic Scotland System Renewal</w:t>
      </w:r>
    </w:p>
    <w:p w14:paraId="18CEBD30"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Intelligent Transport System renewal and replacement</w:t>
      </w:r>
    </w:p>
    <w:p w14:paraId="4E3CA8D0"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Strategy for improving rest and welfare facilities for hauliers</w:t>
      </w:r>
    </w:p>
    <w:p w14:paraId="08250D41"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Improving active travel on trunk roads through communities</w:t>
      </w:r>
    </w:p>
    <w:p w14:paraId="107A3A5A"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Speed Management Plan</w:t>
      </w:r>
    </w:p>
    <w:p w14:paraId="3C1D49F7"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Sustainable access to Grangemouth Investment Zone</w:t>
      </w:r>
    </w:p>
    <w:p w14:paraId="4AAB5635"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 xml:space="preserve">Access to Stranraer and the ports at </w:t>
      </w:r>
      <w:proofErr w:type="spellStart"/>
      <w:r w:rsidRPr="00F53FEC">
        <w:t>Cairnryan</w:t>
      </w:r>
      <w:proofErr w:type="spellEnd"/>
    </w:p>
    <w:p w14:paraId="2A17020D"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Potential Sound of Harris, Sound of Barra fixed link and fixed link between Mull and Scottish mainland</w:t>
      </w:r>
    </w:p>
    <w:p w14:paraId="4FB67B8C"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Investment in port infrastructure to support vessel renewal and replacement, and progressive decarbonisation</w:t>
      </w:r>
    </w:p>
    <w:p w14:paraId="26AE86FF"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Major station masterplans</w:t>
      </w:r>
    </w:p>
    <w:p w14:paraId="107DB603" w14:textId="77777777" w:rsidR="00693397" w:rsidRPr="00F53FEC"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Rail freight terminals and facilities</w:t>
      </w:r>
    </w:p>
    <w:p w14:paraId="41BC4E9B" w14:textId="2BF2A0F1" w:rsidR="00693397" w:rsidRDefault="00693397" w:rsidP="00F53FEC">
      <w:pPr>
        <w:pStyle w:val="STPR2NumberList"/>
        <w:widowControl w:val="0"/>
        <w:numPr>
          <w:ilvl w:val="0"/>
          <w:numId w:val="35"/>
        </w:numPr>
        <w:suppressAutoHyphens/>
        <w:autoSpaceDE w:val="0"/>
        <w:autoSpaceDN w:val="0"/>
        <w:adjustRightInd w:val="0"/>
        <w:spacing w:after="0" w:line="240" w:lineRule="auto"/>
        <w:contextualSpacing w:val="0"/>
        <w:textAlignment w:val="center"/>
      </w:pPr>
      <w:r w:rsidRPr="00F53FEC">
        <w:t>High speed and cross-border rail enhancements</w:t>
      </w:r>
    </w:p>
    <w:p w14:paraId="71D5A39D" w14:textId="16150E67" w:rsidR="007E3759" w:rsidRDefault="007E3759" w:rsidP="007E3759">
      <w:pPr>
        <w:pStyle w:val="STPR2NumberList"/>
        <w:widowControl w:val="0"/>
        <w:numPr>
          <w:ilvl w:val="0"/>
          <w:numId w:val="0"/>
        </w:numPr>
        <w:suppressAutoHyphens/>
        <w:autoSpaceDE w:val="0"/>
        <w:autoSpaceDN w:val="0"/>
        <w:adjustRightInd w:val="0"/>
        <w:spacing w:after="0" w:line="240" w:lineRule="auto"/>
        <w:ind w:left="360"/>
        <w:contextualSpacing w:val="0"/>
        <w:textAlignment w:val="center"/>
      </w:pPr>
    </w:p>
    <w:p w14:paraId="40D63885" w14:textId="77777777" w:rsidR="007E3759" w:rsidRPr="00F53FEC" w:rsidRDefault="007E3759" w:rsidP="007E3759">
      <w:pPr>
        <w:pStyle w:val="STPR2NumberList"/>
        <w:widowControl w:val="0"/>
        <w:numPr>
          <w:ilvl w:val="0"/>
          <w:numId w:val="0"/>
        </w:numPr>
        <w:suppressAutoHyphens/>
        <w:autoSpaceDE w:val="0"/>
        <w:autoSpaceDN w:val="0"/>
        <w:adjustRightInd w:val="0"/>
        <w:spacing w:after="0" w:line="240" w:lineRule="auto"/>
        <w:ind w:left="360"/>
        <w:contextualSpacing w:val="0"/>
        <w:textAlignment w:val="center"/>
      </w:pPr>
    </w:p>
    <w:p w14:paraId="70206F04" w14:textId="77777777" w:rsidR="00693397" w:rsidRPr="00F53FEC" w:rsidRDefault="00693397" w:rsidP="00F53FEC">
      <w:pPr>
        <w:pStyle w:val="STPR2Heading1"/>
        <w:rPr>
          <w:color w:val="auto"/>
        </w:rPr>
      </w:pPr>
      <w:r w:rsidRPr="00F53FEC">
        <w:rPr>
          <w:color w:val="auto"/>
        </w:rPr>
        <w:t>Sustainable Investment Hierarchy and NTS2 Outcomes</w:t>
      </w:r>
      <w:bookmarkEnd w:id="0"/>
    </w:p>
    <w:p w14:paraId="1CB28976" w14:textId="77777777" w:rsidR="007E3759" w:rsidRDefault="00693397" w:rsidP="007E3759">
      <w:pPr>
        <w:pStyle w:val="BodyText"/>
      </w:pPr>
      <w:r w:rsidRPr="00F53FEC">
        <w:t>The second National Transport Strategy (NTS2) states that the Sustainable Investment Hierarchy (SIH) will be used to inform future investment decisions. It prioritises transport options according to the hierarchy</w:t>
      </w:r>
      <w:r w:rsidR="007E3759">
        <w:t xml:space="preserve"> shown in Figure 1</w:t>
      </w:r>
      <w:r w:rsidRPr="00F53FEC">
        <w:t xml:space="preserve">: first reducing the need to travel unsustainably; then maintaining and safely operating existing assets; then making better use of existing capacity;, before finally, considering targeted infrastructure improvements. </w:t>
      </w:r>
    </w:p>
    <w:p w14:paraId="476F4E68" w14:textId="204F490F" w:rsidR="007E3759" w:rsidRPr="00F53FEC" w:rsidRDefault="007E3759" w:rsidP="007E3759">
      <w:pPr>
        <w:pStyle w:val="BodyText"/>
      </w:pPr>
      <w:r w:rsidRPr="00F53FEC">
        <w:t xml:space="preserve">The STPR2 </w:t>
      </w:r>
      <w:r>
        <w:t>Recommendation</w:t>
      </w:r>
      <w:r w:rsidRPr="00F53FEC">
        <w:t xml:space="preserve"> ASTs identify the position of each recommendation on this hierarchy.</w:t>
      </w:r>
    </w:p>
    <w:p w14:paraId="274FDD12" w14:textId="141FBAD5" w:rsidR="00693397" w:rsidRPr="00F53FEC" w:rsidRDefault="00693397" w:rsidP="00693397">
      <w:pPr>
        <w:pStyle w:val="BodyText"/>
      </w:pPr>
    </w:p>
    <w:p w14:paraId="3DE0D5AE" w14:textId="77777777" w:rsidR="00693397" w:rsidRPr="00F53FEC" w:rsidRDefault="00693397" w:rsidP="00693397">
      <w:pPr>
        <w:pStyle w:val="BodyText"/>
        <w:keepNext/>
      </w:pPr>
      <w:r w:rsidRPr="00F53FEC">
        <w:rPr>
          <w:noProof/>
        </w:rPr>
        <w:lastRenderedPageBreak/>
        <w:drawing>
          <wp:inline distT="0" distB="0" distL="0" distR="0" wp14:anchorId="5FF70CB1" wp14:editId="42C97D30">
            <wp:extent cx="4276725" cy="3524250"/>
            <wp:effectExtent l="0" t="0" r="9525" b="0"/>
            <wp:docPr id="1" name="Picture 1" descr="The figure shows the Sustainable Investment Hierarchy which reads from top to bottom: Reducing the need to travel unsustainably.&#10;Maintaining and safely operating existing assets.&#10;Making better use of existing capacity.&#10;Targeted infrastructure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igure shows the Sustainable Investment Hierarchy which reads from top to bottom: Reducing the need to travel unsustainably.&#10;Maintaining and safely operating existing assets.&#10;Making better use of existing capacity.&#10;Targeted infrastructure improvements."/>
                    <pic:cNvPicPr/>
                  </pic:nvPicPr>
                  <pic:blipFill>
                    <a:blip r:embed="rId13"/>
                    <a:stretch>
                      <a:fillRect/>
                    </a:stretch>
                  </pic:blipFill>
                  <pic:spPr>
                    <a:xfrm>
                      <a:off x="0" y="0"/>
                      <a:ext cx="4276725" cy="3524250"/>
                    </a:xfrm>
                    <a:prstGeom prst="rect">
                      <a:avLst/>
                    </a:prstGeom>
                  </pic:spPr>
                </pic:pic>
              </a:graphicData>
            </a:graphic>
          </wp:inline>
        </w:drawing>
      </w:r>
    </w:p>
    <w:p w14:paraId="75723B64" w14:textId="11ED82F1" w:rsidR="00693397" w:rsidRPr="00F53FEC" w:rsidRDefault="00693397" w:rsidP="00693397">
      <w:pPr>
        <w:pStyle w:val="Caption"/>
        <w:rPr>
          <w:sz w:val="24"/>
        </w:rPr>
      </w:pPr>
      <w:r w:rsidRPr="00F53FEC">
        <w:rPr>
          <w:sz w:val="24"/>
        </w:rPr>
        <w:t xml:space="preserve">Figure </w:t>
      </w:r>
      <w:r w:rsidRPr="00F53FEC">
        <w:rPr>
          <w:sz w:val="24"/>
        </w:rPr>
        <w:fldChar w:fldCharType="begin"/>
      </w:r>
      <w:r w:rsidRPr="00F53FEC">
        <w:rPr>
          <w:sz w:val="24"/>
        </w:rPr>
        <w:instrText>SEQ Figure \* ARABIC</w:instrText>
      </w:r>
      <w:r w:rsidRPr="00F53FEC">
        <w:rPr>
          <w:sz w:val="24"/>
        </w:rPr>
        <w:fldChar w:fldCharType="separate"/>
      </w:r>
      <w:r w:rsidR="0029219C">
        <w:rPr>
          <w:noProof/>
          <w:sz w:val="24"/>
        </w:rPr>
        <w:t>1</w:t>
      </w:r>
      <w:r w:rsidRPr="00F53FEC">
        <w:rPr>
          <w:sz w:val="24"/>
        </w:rPr>
        <w:fldChar w:fldCharType="end"/>
      </w:r>
      <w:r w:rsidRPr="00F53FEC">
        <w:rPr>
          <w:sz w:val="24"/>
        </w:rPr>
        <w:t>: Sustainable Investment Hierarchy</w:t>
      </w:r>
    </w:p>
    <w:p w14:paraId="6B1B3C68" w14:textId="77777777" w:rsidR="00F53FEC" w:rsidRDefault="00693397" w:rsidP="00693397">
      <w:pPr>
        <w:pStyle w:val="BodyText"/>
        <w:sectPr w:rsidR="00F53FEC" w:rsidSect="00280ACF">
          <w:headerReference w:type="default" r:id="rId14"/>
          <w:footerReference w:type="default" r:id="rId15"/>
          <w:pgSz w:w="11906" w:h="16838" w:code="9"/>
          <w:pgMar w:top="1701" w:right="1138" w:bottom="1138" w:left="1138" w:header="454" w:footer="567" w:gutter="0"/>
          <w:pgNumType w:start="1"/>
          <w:cols w:space="720"/>
          <w:noEndnote/>
          <w:docGrid w:linePitch="299"/>
        </w:sectPr>
      </w:pPr>
      <w:r w:rsidRPr="00F53FEC">
        <w:t>The NTS2 identified the following outcomes:</w:t>
      </w:r>
    </w:p>
    <w:p w14:paraId="29E2C73D" w14:textId="77777777" w:rsidR="00693397" w:rsidRPr="00F53FEC" w:rsidRDefault="00693397" w:rsidP="00693397">
      <w:pPr>
        <w:pStyle w:val="ListParagraph"/>
        <w:numPr>
          <w:ilvl w:val="0"/>
          <w:numId w:val="31"/>
        </w:numPr>
        <w:spacing w:after="160" w:line="259" w:lineRule="auto"/>
        <w:rPr>
          <w:rFonts w:ascii="Arial" w:eastAsiaTheme="minorEastAsia" w:hAnsi="Arial" w:cs="Arial"/>
          <w:sz w:val="24"/>
          <w:szCs w:val="24"/>
          <w:lang w:eastAsia="en-GB"/>
        </w:rPr>
      </w:pPr>
      <w:r w:rsidRPr="00F53FEC">
        <w:rPr>
          <w:rFonts w:ascii="Arial" w:eastAsiaTheme="minorEastAsia" w:hAnsi="Arial" w:cs="Arial"/>
          <w:sz w:val="24"/>
          <w:szCs w:val="24"/>
          <w:lang w:eastAsia="en-GB"/>
        </w:rPr>
        <w:t>provide fair access to services we need;</w:t>
      </w:r>
    </w:p>
    <w:p w14:paraId="7C023152" w14:textId="77777777" w:rsidR="00693397" w:rsidRPr="00F53FEC" w:rsidRDefault="00693397" w:rsidP="00693397">
      <w:pPr>
        <w:pStyle w:val="ListParagraph"/>
        <w:numPr>
          <w:ilvl w:val="0"/>
          <w:numId w:val="31"/>
        </w:numPr>
        <w:spacing w:after="160" w:line="259" w:lineRule="auto"/>
        <w:rPr>
          <w:rFonts w:ascii="Arial" w:eastAsiaTheme="minorEastAsia" w:hAnsi="Arial" w:cs="Arial"/>
          <w:sz w:val="24"/>
          <w:szCs w:val="24"/>
          <w:lang w:eastAsia="en-GB"/>
        </w:rPr>
      </w:pPr>
      <w:r w:rsidRPr="00F53FEC">
        <w:rPr>
          <w:rFonts w:ascii="Arial" w:eastAsiaTheme="minorEastAsia" w:hAnsi="Arial" w:cs="Arial"/>
          <w:sz w:val="24"/>
          <w:szCs w:val="24"/>
          <w:lang w:eastAsia="en-GB"/>
        </w:rPr>
        <w:t>be easy to use for all;</w:t>
      </w:r>
    </w:p>
    <w:p w14:paraId="7B2AFF89" w14:textId="77777777" w:rsidR="00693397" w:rsidRPr="00F53FEC" w:rsidRDefault="00693397" w:rsidP="00693397">
      <w:pPr>
        <w:pStyle w:val="ListParagraph"/>
        <w:numPr>
          <w:ilvl w:val="0"/>
          <w:numId w:val="31"/>
        </w:numPr>
        <w:spacing w:after="160" w:line="259" w:lineRule="auto"/>
        <w:rPr>
          <w:rFonts w:ascii="Arial" w:eastAsiaTheme="minorEastAsia" w:hAnsi="Arial" w:cs="Arial"/>
          <w:sz w:val="24"/>
          <w:szCs w:val="24"/>
          <w:lang w:eastAsia="en-GB"/>
        </w:rPr>
      </w:pPr>
      <w:r w:rsidRPr="00F53FEC">
        <w:rPr>
          <w:rFonts w:ascii="Arial" w:eastAsiaTheme="minorEastAsia" w:hAnsi="Arial" w:cs="Arial"/>
          <w:sz w:val="24"/>
          <w:szCs w:val="24"/>
          <w:lang w:eastAsia="en-GB"/>
        </w:rPr>
        <w:t>be affordable for all;</w:t>
      </w:r>
    </w:p>
    <w:p w14:paraId="3B9A2893" w14:textId="77777777" w:rsidR="00693397" w:rsidRPr="00F53FEC" w:rsidRDefault="00693397" w:rsidP="00693397">
      <w:pPr>
        <w:pStyle w:val="ListParagraph"/>
        <w:numPr>
          <w:ilvl w:val="0"/>
          <w:numId w:val="31"/>
        </w:numPr>
        <w:spacing w:after="160" w:line="259" w:lineRule="auto"/>
        <w:rPr>
          <w:rFonts w:ascii="Arial" w:eastAsiaTheme="minorEastAsia" w:hAnsi="Arial" w:cs="Arial"/>
          <w:sz w:val="24"/>
          <w:szCs w:val="24"/>
          <w:lang w:eastAsia="en-GB"/>
        </w:rPr>
      </w:pPr>
      <w:r w:rsidRPr="00F53FEC">
        <w:rPr>
          <w:rFonts w:ascii="Arial" w:eastAsiaTheme="minorEastAsia" w:hAnsi="Arial" w:cs="Arial"/>
          <w:sz w:val="24"/>
          <w:szCs w:val="24"/>
          <w:lang w:eastAsia="en-GB"/>
        </w:rPr>
        <w:t>help deliver our net-zero target;</w:t>
      </w:r>
    </w:p>
    <w:p w14:paraId="24136858" w14:textId="77777777" w:rsidR="00693397" w:rsidRPr="00F53FEC" w:rsidRDefault="00693397" w:rsidP="00693397">
      <w:pPr>
        <w:pStyle w:val="ListParagraph"/>
        <w:numPr>
          <w:ilvl w:val="0"/>
          <w:numId w:val="31"/>
        </w:numPr>
        <w:spacing w:after="160" w:line="259" w:lineRule="auto"/>
        <w:rPr>
          <w:rFonts w:ascii="Arial" w:eastAsiaTheme="minorEastAsia" w:hAnsi="Arial" w:cs="Arial"/>
          <w:sz w:val="24"/>
          <w:szCs w:val="24"/>
          <w:lang w:eastAsia="en-GB"/>
        </w:rPr>
      </w:pPr>
      <w:r w:rsidRPr="00F53FEC">
        <w:rPr>
          <w:rFonts w:ascii="Arial" w:eastAsiaTheme="minorEastAsia" w:hAnsi="Arial" w:cs="Arial"/>
          <w:sz w:val="24"/>
          <w:szCs w:val="24"/>
          <w:lang w:eastAsia="en-GB"/>
        </w:rPr>
        <w:t>adapt to the effects of climate change;</w:t>
      </w:r>
    </w:p>
    <w:p w14:paraId="1796C2C0" w14:textId="77777777" w:rsidR="00693397" w:rsidRPr="00F53FEC" w:rsidRDefault="00693397" w:rsidP="00693397">
      <w:pPr>
        <w:pStyle w:val="ListParagraph"/>
        <w:numPr>
          <w:ilvl w:val="0"/>
          <w:numId w:val="31"/>
        </w:numPr>
        <w:spacing w:after="160" w:line="259" w:lineRule="auto"/>
        <w:rPr>
          <w:rFonts w:ascii="Arial" w:eastAsiaTheme="minorEastAsia" w:hAnsi="Arial" w:cs="Arial"/>
          <w:sz w:val="24"/>
          <w:szCs w:val="24"/>
          <w:lang w:eastAsia="en-GB"/>
        </w:rPr>
      </w:pPr>
      <w:r w:rsidRPr="00F53FEC">
        <w:rPr>
          <w:rFonts w:ascii="Arial" w:eastAsiaTheme="minorEastAsia" w:hAnsi="Arial" w:cs="Arial"/>
          <w:sz w:val="24"/>
          <w:szCs w:val="24"/>
          <w:lang w:eastAsia="en-GB"/>
        </w:rPr>
        <w:t>promote cleaner, greener choices;</w:t>
      </w:r>
    </w:p>
    <w:p w14:paraId="0DB9FDDE" w14:textId="77777777" w:rsidR="00693397" w:rsidRPr="00F53FEC" w:rsidRDefault="00693397" w:rsidP="00693397">
      <w:pPr>
        <w:pStyle w:val="ListParagraph"/>
        <w:numPr>
          <w:ilvl w:val="0"/>
          <w:numId w:val="31"/>
        </w:numPr>
        <w:spacing w:after="160" w:line="259" w:lineRule="auto"/>
        <w:rPr>
          <w:rFonts w:ascii="Arial" w:eastAsiaTheme="minorEastAsia" w:hAnsi="Arial" w:cs="Arial"/>
          <w:sz w:val="24"/>
          <w:szCs w:val="24"/>
          <w:lang w:eastAsia="en-GB"/>
        </w:rPr>
      </w:pPr>
      <w:r w:rsidRPr="00F53FEC">
        <w:rPr>
          <w:rFonts w:ascii="Arial" w:eastAsiaTheme="minorEastAsia" w:hAnsi="Arial" w:cs="Arial"/>
          <w:sz w:val="24"/>
          <w:szCs w:val="24"/>
          <w:lang w:eastAsia="en-GB"/>
        </w:rPr>
        <w:t>get people and goods where they need to get to;</w:t>
      </w:r>
    </w:p>
    <w:p w14:paraId="334CF761" w14:textId="77777777" w:rsidR="00693397" w:rsidRPr="00F53FEC" w:rsidRDefault="00693397" w:rsidP="00693397">
      <w:pPr>
        <w:pStyle w:val="ListParagraph"/>
        <w:numPr>
          <w:ilvl w:val="0"/>
          <w:numId w:val="31"/>
        </w:numPr>
        <w:spacing w:after="160" w:line="259" w:lineRule="auto"/>
        <w:rPr>
          <w:rFonts w:ascii="Arial" w:eastAsiaTheme="minorEastAsia" w:hAnsi="Arial" w:cs="Arial"/>
          <w:sz w:val="24"/>
          <w:szCs w:val="24"/>
          <w:lang w:eastAsia="en-GB"/>
        </w:rPr>
      </w:pPr>
      <w:r w:rsidRPr="00F53FEC">
        <w:rPr>
          <w:rFonts w:ascii="Arial" w:eastAsiaTheme="minorEastAsia" w:hAnsi="Arial" w:cs="Arial"/>
          <w:sz w:val="24"/>
          <w:szCs w:val="24"/>
          <w:lang w:eastAsia="en-GB"/>
        </w:rPr>
        <w:t>be reliable, efficient and high quality;</w:t>
      </w:r>
    </w:p>
    <w:p w14:paraId="2ABB13E4" w14:textId="77777777" w:rsidR="00693397" w:rsidRPr="00F53FEC" w:rsidRDefault="00693397" w:rsidP="00693397">
      <w:pPr>
        <w:pStyle w:val="ListParagraph"/>
        <w:numPr>
          <w:ilvl w:val="0"/>
          <w:numId w:val="31"/>
        </w:numPr>
        <w:spacing w:after="160" w:line="259" w:lineRule="auto"/>
        <w:rPr>
          <w:rFonts w:ascii="Arial" w:eastAsiaTheme="minorEastAsia" w:hAnsi="Arial" w:cs="Arial"/>
          <w:sz w:val="24"/>
          <w:szCs w:val="24"/>
          <w:lang w:eastAsia="en-GB"/>
        </w:rPr>
      </w:pPr>
      <w:r w:rsidRPr="00F53FEC">
        <w:rPr>
          <w:rFonts w:ascii="Arial" w:eastAsiaTheme="minorEastAsia" w:hAnsi="Arial" w:cs="Arial"/>
          <w:sz w:val="24"/>
          <w:szCs w:val="24"/>
          <w:lang w:eastAsia="en-GB"/>
        </w:rPr>
        <w:t>use beneficial innovation;</w:t>
      </w:r>
    </w:p>
    <w:p w14:paraId="65F6C886" w14:textId="77777777" w:rsidR="00693397" w:rsidRPr="00F53FEC" w:rsidRDefault="00693397" w:rsidP="00693397">
      <w:pPr>
        <w:pStyle w:val="ListParagraph"/>
        <w:numPr>
          <w:ilvl w:val="0"/>
          <w:numId w:val="31"/>
        </w:numPr>
        <w:spacing w:after="160" w:line="259" w:lineRule="auto"/>
        <w:rPr>
          <w:rFonts w:ascii="Arial" w:eastAsiaTheme="minorEastAsia" w:hAnsi="Arial" w:cs="Arial"/>
          <w:sz w:val="24"/>
          <w:szCs w:val="24"/>
          <w:lang w:eastAsia="en-GB"/>
        </w:rPr>
      </w:pPr>
      <w:r w:rsidRPr="00F53FEC">
        <w:rPr>
          <w:rFonts w:ascii="Arial" w:eastAsiaTheme="minorEastAsia" w:hAnsi="Arial" w:cs="Arial"/>
          <w:sz w:val="24"/>
          <w:szCs w:val="24"/>
          <w:lang w:eastAsia="en-GB"/>
        </w:rPr>
        <w:t>be safe and secure for all;</w:t>
      </w:r>
    </w:p>
    <w:p w14:paraId="4777AD72" w14:textId="77777777" w:rsidR="00693397" w:rsidRPr="00F53FEC" w:rsidRDefault="00693397" w:rsidP="00693397">
      <w:pPr>
        <w:pStyle w:val="ListParagraph"/>
        <w:numPr>
          <w:ilvl w:val="0"/>
          <w:numId w:val="31"/>
        </w:numPr>
        <w:spacing w:after="160" w:line="259" w:lineRule="auto"/>
        <w:rPr>
          <w:rFonts w:ascii="Arial" w:eastAsiaTheme="minorEastAsia" w:hAnsi="Arial" w:cs="Arial"/>
          <w:sz w:val="24"/>
          <w:szCs w:val="24"/>
          <w:lang w:eastAsia="en-GB"/>
        </w:rPr>
      </w:pPr>
      <w:r w:rsidRPr="00F53FEC">
        <w:rPr>
          <w:rFonts w:ascii="Arial" w:eastAsiaTheme="minorEastAsia" w:hAnsi="Arial" w:cs="Arial"/>
          <w:sz w:val="24"/>
          <w:szCs w:val="24"/>
          <w:lang w:eastAsia="en-GB"/>
        </w:rPr>
        <w:t>enable us to make healthy travel choices; and</w:t>
      </w:r>
    </w:p>
    <w:p w14:paraId="21A50A00" w14:textId="77777777" w:rsidR="00F53FEC" w:rsidRDefault="00693397" w:rsidP="00693397">
      <w:pPr>
        <w:pStyle w:val="ListParagraph"/>
        <w:numPr>
          <w:ilvl w:val="0"/>
          <w:numId w:val="31"/>
        </w:numPr>
        <w:spacing w:after="160" w:line="259" w:lineRule="auto"/>
        <w:rPr>
          <w:rFonts w:ascii="Arial" w:eastAsiaTheme="minorEastAsia" w:hAnsi="Arial" w:cs="Arial"/>
          <w:sz w:val="24"/>
          <w:szCs w:val="24"/>
          <w:lang w:eastAsia="en-GB"/>
        </w:rPr>
        <w:sectPr w:rsidR="00F53FEC" w:rsidSect="007E3759">
          <w:type w:val="continuous"/>
          <w:pgSz w:w="11906" w:h="16838" w:code="9"/>
          <w:pgMar w:top="1701" w:right="1138" w:bottom="1138" w:left="1138" w:header="454" w:footer="567" w:gutter="0"/>
          <w:pgNumType w:start="1"/>
          <w:cols w:space="720"/>
          <w:noEndnote/>
          <w:docGrid w:linePitch="299"/>
        </w:sectPr>
      </w:pPr>
      <w:r w:rsidRPr="00F53FEC">
        <w:rPr>
          <w:rFonts w:ascii="Arial" w:eastAsiaTheme="minorEastAsia" w:hAnsi="Arial" w:cs="Arial"/>
          <w:sz w:val="24"/>
          <w:szCs w:val="24"/>
          <w:lang w:eastAsia="en-GB"/>
        </w:rPr>
        <w:t>help make our communities great places to live.</w:t>
      </w:r>
    </w:p>
    <w:p w14:paraId="5545D66A" w14:textId="77777777" w:rsidR="00693397" w:rsidRPr="00F53FEC" w:rsidRDefault="00693397" w:rsidP="00F53FEC">
      <w:pPr>
        <w:pStyle w:val="ListParagraph"/>
        <w:spacing w:after="160" w:line="259" w:lineRule="auto"/>
        <w:ind w:left="360"/>
        <w:rPr>
          <w:rFonts w:ascii="Arial" w:eastAsiaTheme="minorEastAsia" w:hAnsi="Arial" w:cs="Arial"/>
          <w:sz w:val="24"/>
          <w:szCs w:val="24"/>
          <w:lang w:eastAsia="en-GB"/>
        </w:rPr>
      </w:pPr>
    </w:p>
    <w:p w14:paraId="65F1F23E" w14:textId="07AE7960" w:rsidR="00693397" w:rsidRDefault="00693397" w:rsidP="00693397">
      <w:pPr>
        <w:rPr>
          <w:rFonts w:ascii="Arial" w:hAnsi="Arial" w:cs="Arial"/>
          <w:sz w:val="24"/>
          <w:szCs w:val="24"/>
        </w:rPr>
      </w:pPr>
      <w:r w:rsidRPr="00F53FEC">
        <w:rPr>
          <w:rFonts w:ascii="Arial" w:hAnsi="Arial" w:cs="Arial"/>
          <w:sz w:val="24"/>
          <w:szCs w:val="24"/>
        </w:rPr>
        <w:t xml:space="preserve">The STPR2 </w:t>
      </w:r>
      <w:r w:rsidR="00F53FEC">
        <w:rPr>
          <w:rFonts w:ascii="Arial" w:hAnsi="Arial" w:cs="Arial"/>
          <w:sz w:val="24"/>
          <w:szCs w:val="24"/>
        </w:rPr>
        <w:t>Recommendation</w:t>
      </w:r>
      <w:r w:rsidRPr="00F53FEC">
        <w:rPr>
          <w:rFonts w:ascii="Arial" w:hAnsi="Arial" w:cs="Arial"/>
          <w:sz w:val="24"/>
          <w:szCs w:val="24"/>
        </w:rPr>
        <w:t xml:space="preserve"> ASTs identify the NTS2 outcomes which could be addressed by each recommendation.</w:t>
      </w:r>
    </w:p>
    <w:p w14:paraId="4B730AAD" w14:textId="77777777" w:rsidR="007E3759" w:rsidRPr="00F53FEC" w:rsidRDefault="007E3759" w:rsidP="00693397">
      <w:pPr>
        <w:rPr>
          <w:rFonts w:eastAsia="Times New Roman" w:cs="Arial"/>
          <w:sz w:val="24"/>
          <w:szCs w:val="24"/>
        </w:rPr>
      </w:pPr>
    </w:p>
    <w:p w14:paraId="0DE72359" w14:textId="77777777" w:rsidR="00693397" w:rsidRPr="00F53FEC" w:rsidRDefault="00693397" w:rsidP="007E3759">
      <w:pPr>
        <w:pStyle w:val="STPR2Heading1"/>
        <w:keepNext/>
        <w:keepLines/>
        <w:rPr>
          <w:color w:val="auto"/>
        </w:rPr>
      </w:pPr>
      <w:bookmarkStart w:id="1" w:name="_Ref105503841"/>
      <w:r w:rsidRPr="00F53FEC">
        <w:rPr>
          <w:color w:val="auto"/>
        </w:rPr>
        <w:lastRenderedPageBreak/>
        <w:t>Appraisal Scoring System</w:t>
      </w:r>
      <w:bookmarkEnd w:id="1"/>
    </w:p>
    <w:p w14:paraId="7743B33E" w14:textId="77777777" w:rsidR="00693397" w:rsidRPr="00F53FEC" w:rsidRDefault="00693397" w:rsidP="007E3759">
      <w:pPr>
        <w:pStyle w:val="BodyText"/>
        <w:keepNext/>
        <w:keepLines/>
      </w:pPr>
      <w:r w:rsidRPr="00F53FEC">
        <w:t>The detailed appraisal has been undertaken in line with STAG guidance using the seven-point scale, defined as follows:</w:t>
      </w:r>
    </w:p>
    <w:p w14:paraId="7B404E47" w14:textId="1C0CBB55" w:rsidR="00693397" w:rsidRPr="00F53FEC" w:rsidRDefault="00693397" w:rsidP="007E3759">
      <w:pPr>
        <w:pStyle w:val="ListBullet"/>
        <w:keepNext/>
        <w:keepLines/>
        <w:tabs>
          <w:tab w:val="clear" w:pos="425"/>
        </w:tabs>
        <w:spacing w:after="160" w:line="259" w:lineRule="auto"/>
        <w:ind w:left="357" w:hanging="357"/>
        <w:rPr>
          <w:rFonts w:ascii="Arial" w:hAnsi="Arial" w:cs="Arial"/>
          <w:sz w:val="24"/>
          <w:szCs w:val="24"/>
        </w:rPr>
      </w:pPr>
      <w:r w:rsidRPr="00F53FEC">
        <w:rPr>
          <w:rFonts w:ascii="Arial" w:hAnsi="Arial" w:cs="Arial"/>
          <w:sz w:val="24"/>
          <w:szCs w:val="24"/>
        </w:rPr>
        <w:t xml:space="preserve">Major positive </w:t>
      </w:r>
      <w:r w:rsidRPr="00F53FEC">
        <w:rPr>
          <w:rFonts w:ascii="Arial" w:hAnsi="Arial" w:cs="Arial"/>
          <w:sz w:val="24"/>
          <w:szCs w:val="24"/>
        </w:rPr>
        <w:tab/>
      </w:r>
      <w:r w:rsidRPr="00F53FEC">
        <w:rPr>
          <w:rFonts w:ascii="Arial" w:hAnsi="Arial" w:cs="Arial"/>
          <w:sz w:val="24"/>
          <w:szCs w:val="24"/>
        </w:rPr>
        <w:tab/>
        <w:t xml:space="preserve">+++  </w:t>
      </w:r>
    </w:p>
    <w:p w14:paraId="6D07E443" w14:textId="77777777" w:rsidR="00693397" w:rsidRPr="00F53FEC" w:rsidRDefault="00693397" w:rsidP="007E3759">
      <w:pPr>
        <w:pStyle w:val="ListBullet"/>
        <w:keepNext/>
        <w:keepLines/>
        <w:numPr>
          <w:ilvl w:val="0"/>
          <w:numId w:val="0"/>
        </w:numPr>
        <w:ind w:left="357"/>
        <w:rPr>
          <w:rFonts w:ascii="Arial" w:hAnsi="Arial" w:cs="Arial"/>
          <w:sz w:val="24"/>
          <w:szCs w:val="24"/>
        </w:rPr>
      </w:pPr>
      <w:r w:rsidRPr="00F53FEC">
        <w:rPr>
          <w:rFonts w:ascii="Arial" w:hAnsi="Arial" w:cs="Arial"/>
          <w:sz w:val="24"/>
          <w:szCs w:val="24"/>
        </w:rPr>
        <w:t xml:space="preserve">The recommendation </w:t>
      </w:r>
      <w:bookmarkStart w:id="2" w:name="_Hlk119392319"/>
      <w:r w:rsidRPr="00F53FEC">
        <w:rPr>
          <w:rFonts w:ascii="Arial" w:hAnsi="Arial" w:cs="Arial"/>
          <w:sz w:val="24"/>
          <w:szCs w:val="24"/>
        </w:rPr>
        <w:t xml:space="preserve">is anticipated to have </w:t>
      </w:r>
      <w:bookmarkEnd w:id="2"/>
      <w:r w:rsidRPr="00F53FEC">
        <w:rPr>
          <w:rFonts w:ascii="Arial" w:hAnsi="Arial" w:cs="Arial"/>
          <w:sz w:val="24"/>
          <w:szCs w:val="24"/>
        </w:rPr>
        <w:t>a major positive contribution to achievement of the objective, or has a major (positive) benefit on the appraisal criterion. In relation to aspects of deliverability, the assessment is very positive with minimal projected risk, and strong supporting evidence/examples can be provided.</w:t>
      </w:r>
    </w:p>
    <w:p w14:paraId="62CCE2E3" w14:textId="2B64D377" w:rsidR="00693397" w:rsidRPr="00F53FEC" w:rsidRDefault="00693397" w:rsidP="007E3759">
      <w:pPr>
        <w:pStyle w:val="ListBullet"/>
        <w:keepNext/>
        <w:keepLines/>
        <w:tabs>
          <w:tab w:val="clear" w:pos="425"/>
        </w:tabs>
        <w:spacing w:after="160" w:line="259" w:lineRule="auto"/>
        <w:ind w:left="357" w:hanging="357"/>
        <w:rPr>
          <w:rFonts w:ascii="Arial" w:hAnsi="Arial" w:cs="Arial"/>
          <w:sz w:val="24"/>
          <w:szCs w:val="24"/>
        </w:rPr>
      </w:pPr>
      <w:r w:rsidRPr="00F53FEC">
        <w:rPr>
          <w:rFonts w:ascii="Arial" w:hAnsi="Arial" w:cs="Arial"/>
          <w:sz w:val="24"/>
          <w:szCs w:val="24"/>
        </w:rPr>
        <w:t>Moderate positive</w:t>
      </w:r>
      <w:r w:rsidRPr="00F53FEC">
        <w:rPr>
          <w:rFonts w:ascii="Arial" w:hAnsi="Arial" w:cs="Arial"/>
          <w:sz w:val="24"/>
          <w:szCs w:val="24"/>
        </w:rPr>
        <w:tab/>
        <w:t xml:space="preserve"> ++  </w:t>
      </w:r>
    </w:p>
    <w:p w14:paraId="692904BD" w14:textId="77777777" w:rsidR="00693397" w:rsidRPr="00F53FEC" w:rsidRDefault="00693397" w:rsidP="007E3759">
      <w:pPr>
        <w:pStyle w:val="ListBullet"/>
        <w:keepNext/>
        <w:keepLines/>
        <w:numPr>
          <w:ilvl w:val="0"/>
          <w:numId w:val="0"/>
        </w:numPr>
        <w:ind w:left="357"/>
        <w:rPr>
          <w:rFonts w:ascii="Arial" w:hAnsi="Arial" w:cs="Arial"/>
          <w:sz w:val="24"/>
          <w:szCs w:val="24"/>
        </w:rPr>
      </w:pPr>
      <w:r w:rsidRPr="00F53FEC">
        <w:rPr>
          <w:rFonts w:ascii="Arial" w:hAnsi="Arial" w:cs="Arial"/>
          <w:sz w:val="24"/>
          <w:szCs w:val="24"/>
        </w:rPr>
        <w:t>The recommendation is anticipated to have a moderate positive contribution to achievement of the objective, or have a moderate (positive) benefit on the appraisal criterion. In relation to aspects of deliverability, the assessment is positive with minimal projected risk, and supporting evidence/examples can be provided.</w:t>
      </w:r>
    </w:p>
    <w:p w14:paraId="65A7C48A" w14:textId="561140B7" w:rsidR="00693397" w:rsidRPr="00F53FEC" w:rsidRDefault="00693397" w:rsidP="007E3759">
      <w:pPr>
        <w:pStyle w:val="ListBullet"/>
        <w:keepNext/>
        <w:keepLines/>
        <w:tabs>
          <w:tab w:val="clear" w:pos="425"/>
        </w:tabs>
        <w:spacing w:after="160" w:line="259" w:lineRule="auto"/>
        <w:ind w:left="357" w:hanging="357"/>
        <w:rPr>
          <w:rFonts w:ascii="Arial" w:hAnsi="Arial" w:cs="Arial"/>
          <w:sz w:val="24"/>
          <w:szCs w:val="24"/>
        </w:rPr>
      </w:pPr>
      <w:r w:rsidRPr="00F53FEC">
        <w:rPr>
          <w:rFonts w:ascii="Arial" w:hAnsi="Arial" w:cs="Arial"/>
          <w:sz w:val="24"/>
          <w:szCs w:val="24"/>
        </w:rPr>
        <w:t xml:space="preserve">Minor positive </w:t>
      </w:r>
      <w:r w:rsidRPr="00F53FEC">
        <w:rPr>
          <w:rFonts w:ascii="Arial" w:hAnsi="Arial" w:cs="Arial"/>
          <w:sz w:val="24"/>
          <w:szCs w:val="24"/>
        </w:rPr>
        <w:tab/>
      </w:r>
      <w:r w:rsidRPr="00F53FEC">
        <w:rPr>
          <w:rFonts w:ascii="Arial" w:hAnsi="Arial" w:cs="Arial"/>
          <w:sz w:val="24"/>
          <w:szCs w:val="24"/>
        </w:rPr>
        <w:tab/>
        <w:t xml:space="preserve"> +  </w:t>
      </w:r>
    </w:p>
    <w:p w14:paraId="702BC1F7" w14:textId="77777777" w:rsidR="00693397" w:rsidRPr="00F53FEC" w:rsidRDefault="00693397" w:rsidP="007E3759">
      <w:pPr>
        <w:pStyle w:val="ListBullet"/>
        <w:keepNext/>
        <w:keepLines/>
        <w:numPr>
          <w:ilvl w:val="0"/>
          <w:numId w:val="0"/>
        </w:numPr>
        <w:ind w:left="357"/>
        <w:rPr>
          <w:rFonts w:ascii="Arial" w:hAnsi="Arial" w:cs="Arial"/>
          <w:sz w:val="24"/>
          <w:szCs w:val="24"/>
        </w:rPr>
      </w:pPr>
      <w:r w:rsidRPr="00F53FEC">
        <w:rPr>
          <w:rFonts w:ascii="Arial" w:hAnsi="Arial" w:cs="Arial"/>
          <w:sz w:val="24"/>
          <w:szCs w:val="24"/>
        </w:rPr>
        <w:t>The recommendation is anticipated to contribute to the achievement of the objective but not significantly, or have a minor (positive) benefit on the appraisal criterion. In relation to aspects of deliverability, the overall assessment is positive with relatively low risk, and some evidence/examples can be provided.</w:t>
      </w:r>
    </w:p>
    <w:p w14:paraId="59BD06C8" w14:textId="3F017656" w:rsidR="00693397" w:rsidRPr="00F53FEC" w:rsidRDefault="00693397" w:rsidP="007E3759">
      <w:pPr>
        <w:pStyle w:val="ListBullet"/>
        <w:keepNext/>
        <w:keepLines/>
        <w:tabs>
          <w:tab w:val="clear" w:pos="425"/>
        </w:tabs>
        <w:spacing w:after="160" w:line="259" w:lineRule="auto"/>
        <w:ind w:left="357" w:hanging="357"/>
        <w:rPr>
          <w:rFonts w:ascii="Arial" w:hAnsi="Arial" w:cs="Arial"/>
          <w:sz w:val="24"/>
          <w:szCs w:val="24"/>
        </w:rPr>
      </w:pPr>
      <w:r w:rsidRPr="00F53FEC">
        <w:rPr>
          <w:rFonts w:ascii="Arial" w:hAnsi="Arial" w:cs="Arial"/>
          <w:sz w:val="24"/>
          <w:szCs w:val="24"/>
        </w:rPr>
        <w:t xml:space="preserve">Neutral </w:t>
      </w:r>
      <w:r w:rsidRPr="00F53FEC">
        <w:rPr>
          <w:rFonts w:ascii="Arial" w:hAnsi="Arial" w:cs="Arial"/>
          <w:sz w:val="24"/>
          <w:szCs w:val="24"/>
        </w:rPr>
        <w:tab/>
      </w:r>
      <w:r w:rsidRPr="00F53FEC">
        <w:rPr>
          <w:rFonts w:ascii="Arial" w:hAnsi="Arial" w:cs="Arial"/>
          <w:sz w:val="24"/>
          <w:szCs w:val="24"/>
        </w:rPr>
        <w:tab/>
      </w:r>
      <w:r w:rsidRPr="00F53FEC">
        <w:rPr>
          <w:rFonts w:ascii="Arial" w:hAnsi="Arial" w:cs="Arial"/>
          <w:sz w:val="24"/>
          <w:szCs w:val="24"/>
        </w:rPr>
        <w:tab/>
      </w:r>
      <w:r w:rsidR="00E30FC1">
        <w:rPr>
          <w:rFonts w:ascii="Arial" w:hAnsi="Arial" w:cs="Arial"/>
          <w:sz w:val="24"/>
          <w:szCs w:val="24"/>
        </w:rPr>
        <w:t>0</w:t>
      </w:r>
    </w:p>
    <w:p w14:paraId="43BA0FC8" w14:textId="77777777" w:rsidR="00693397" w:rsidRPr="00F53FEC" w:rsidRDefault="00693397" w:rsidP="007E3759">
      <w:pPr>
        <w:pStyle w:val="ListBullet"/>
        <w:keepNext/>
        <w:keepLines/>
        <w:numPr>
          <w:ilvl w:val="0"/>
          <w:numId w:val="0"/>
        </w:numPr>
        <w:ind w:left="357"/>
        <w:rPr>
          <w:rFonts w:ascii="Arial" w:hAnsi="Arial" w:cs="Arial"/>
          <w:sz w:val="24"/>
          <w:szCs w:val="24"/>
        </w:rPr>
      </w:pPr>
      <w:r w:rsidRPr="00F53FEC">
        <w:rPr>
          <w:rFonts w:ascii="Arial" w:hAnsi="Arial" w:cs="Arial"/>
          <w:sz w:val="24"/>
          <w:szCs w:val="24"/>
        </w:rPr>
        <w:t>The recommendation is related to but is not anticipated to have any effect on the achievement of the objective, or has no effect (neither positive or negative) on the appraisal criterion, or the assessment of the category is neither positive nor negative.</w:t>
      </w:r>
    </w:p>
    <w:p w14:paraId="53FC3F6D" w14:textId="784D0D3B" w:rsidR="00693397" w:rsidRPr="00F53FEC" w:rsidRDefault="00693397" w:rsidP="007E3759">
      <w:pPr>
        <w:pStyle w:val="ListBullet"/>
        <w:keepNext/>
        <w:keepLines/>
        <w:tabs>
          <w:tab w:val="clear" w:pos="425"/>
        </w:tabs>
        <w:spacing w:after="160" w:line="259" w:lineRule="auto"/>
        <w:ind w:left="357" w:hanging="357"/>
        <w:rPr>
          <w:rFonts w:ascii="Arial" w:hAnsi="Arial" w:cs="Arial"/>
          <w:sz w:val="24"/>
          <w:szCs w:val="24"/>
        </w:rPr>
      </w:pPr>
      <w:r w:rsidRPr="00F53FEC">
        <w:rPr>
          <w:rFonts w:ascii="Arial" w:hAnsi="Arial" w:cs="Arial"/>
          <w:sz w:val="24"/>
          <w:szCs w:val="24"/>
        </w:rPr>
        <w:t xml:space="preserve">Minor Negative </w:t>
      </w:r>
      <w:r w:rsidRPr="00F53FEC">
        <w:rPr>
          <w:rFonts w:ascii="Arial" w:hAnsi="Arial" w:cs="Arial"/>
          <w:sz w:val="24"/>
          <w:szCs w:val="24"/>
        </w:rPr>
        <w:tab/>
        <w:t xml:space="preserve">  </w:t>
      </w:r>
      <w:r w:rsidRPr="00F53FEC">
        <w:rPr>
          <w:rFonts w:ascii="Arial" w:hAnsi="Arial" w:cs="Arial"/>
          <w:sz w:val="24"/>
          <w:szCs w:val="24"/>
        </w:rPr>
        <w:tab/>
        <w:t xml:space="preserve">-  </w:t>
      </w:r>
    </w:p>
    <w:p w14:paraId="0F1A154A" w14:textId="77777777" w:rsidR="00693397" w:rsidRPr="00F53FEC" w:rsidRDefault="00693397" w:rsidP="007E3759">
      <w:pPr>
        <w:pStyle w:val="ListBullet"/>
        <w:keepNext/>
        <w:keepLines/>
        <w:numPr>
          <w:ilvl w:val="0"/>
          <w:numId w:val="0"/>
        </w:numPr>
        <w:ind w:left="357"/>
        <w:rPr>
          <w:rFonts w:ascii="Arial" w:hAnsi="Arial" w:cs="Arial"/>
          <w:sz w:val="24"/>
          <w:szCs w:val="24"/>
        </w:rPr>
      </w:pPr>
      <w:r w:rsidRPr="00F53FEC">
        <w:rPr>
          <w:rFonts w:ascii="Arial" w:hAnsi="Arial" w:cs="Arial"/>
          <w:sz w:val="24"/>
          <w:szCs w:val="24"/>
        </w:rPr>
        <w:t>The recommendation is anticipated to detract from the achievement of the objective but not significantly, or have a minor (negative) impact on the appraisal criterion. In relation to aspects of deliverability, the overall assessment is negative with some identified risks and/or uncertainty.</w:t>
      </w:r>
    </w:p>
    <w:p w14:paraId="76AF5F71" w14:textId="36259C48" w:rsidR="00693397" w:rsidRPr="00F53FEC" w:rsidRDefault="00693397" w:rsidP="007E3759">
      <w:pPr>
        <w:pStyle w:val="ListBullet"/>
        <w:keepNext/>
        <w:keepLines/>
        <w:tabs>
          <w:tab w:val="clear" w:pos="425"/>
        </w:tabs>
        <w:spacing w:after="160" w:line="259" w:lineRule="auto"/>
        <w:ind w:left="357" w:hanging="357"/>
        <w:rPr>
          <w:rFonts w:ascii="Arial" w:hAnsi="Arial" w:cs="Arial"/>
          <w:sz w:val="24"/>
          <w:szCs w:val="24"/>
        </w:rPr>
      </w:pPr>
      <w:r w:rsidRPr="00F53FEC">
        <w:rPr>
          <w:rFonts w:ascii="Arial" w:hAnsi="Arial" w:cs="Arial"/>
          <w:sz w:val="24"/>
          <w:szCs w:val="24"/>
        </w:rPr>
        <w:t xml:space="preserve">Moderate Negative </w:t>
      </w:r>
      <w:r w:rsidRPr="00F53FEC">
        <w:rPr>
          <w:rFonts w:ascii="Arial" w:hAnsi="Arial" w:cs="Arial"/>
          <w:sz w:val="24"/>
          <w:szCs w:val="24"/>
        </w:rPr>
        <w:tab/>
        <w:t xml:space="preserve"> - -  </w:t>
      </w:r>
    </w:p>
    <w:p w14:paraId="40ED6EA8" w14:textId="77777777" w:rsidR="00693397" w:rsidRPr="00F53FEC" w:rsidRDefault="00693397" w:rsidP="007E3759">
      <w:pPr>
        <w:pStyle w:val="ListBullet"/>
        <w:keepNext/>
        <w:keepLines/>
        <w:numPr>
          <w:ilvl w:val="0"/>
          <w:numId w:val="0"/>
        </w:numPr>
        <w:ind w:left="357"/>
        <w:rPr>
          <w:rFonts w:ascii="Arial" w:hAnsi="Arial" w:cs="Arial"/>
          <w:sz w:val="24"/>
          <w:szCs w:val="24"/>
        </w:rPr>
      </w:pPr>
      <w:r w:rsidRPr="00F53FEC">
        <w:rPr>
          <w:rFonts w:ascii="Arial" w:hAnsi="Arial" w:cs="Arial"/>
          <w:sz w:val="24"/>
          <w:szCs w:val="24"/>
        </w:rPr>
        <w:t>The recommendation is anticipated to have a moderate negative impact on the achievement of the objective, or have a moderate (negative) impact on the appraisal criterion. In relation to aspects of deliverability, the overall assessment is negative with identified risks and/or a degree of uncertainty.</w:t>
      </w:r>
    </w:p>
    <w:p w14:paraId="6FBAFF91" w14:textId="4925AE41" w:rsidR="00693397" w:rsidRPr="00F53FEC" w:rsidRDefault="00693397" w:rsidP="007E3759">
      <w:pPr>
        <w:pStyle w:val="ListBullet"/>
        <w:keepNext/>
        <w:keepLines/>
        <w:tabs>
          <w:tab w:val="clear" w:pos="425"/>
        </w:tabs>
        <w:spacing w:after="160" w:line="259" w:lineRule="auto"/>
        <w:ind w:left="357" w:hanging="357"/>
        <w:rPr>
          <w:rFonts w:ascii="Arial" w:hAnsi="Arial" w:cs="Arial"/>
          <w:sz w:val="24"/>
          <w:szCs w:val="24"/>
        </w:rPr>
      </w:pPr>
      <w:r w:rsidRPr="00F53FEC">
        <w:rPr>
          <w:rFonts w:ascii="Arial" w:hAnsi="Arial" w:cs="Arial"/>
          <w:sz w:val="24"/>
          <w:szCs w:val="24"/>
        </w:rPr>
        <w:t xml:space="preserve">Major Negative </w:t>
      </w:r>
      <w:r w:rsidRPr="00F53FEC">
        <w:rPr>
          <w:rFonts w:ascii="Arial" w:hAnsi="Arial" w:cs="Arial"/>
          <w:sz w:val="24"/>
          <w:szCs w:val="24"/>
        </w:rPr>
        <w:tab/>
      </w:r>
      <w:r w:rsidR="00E30FC1">
        <w:rPr>
          <w:rFonts w:ascii="Arial" w:hAnsi="Arial" w:cs="Arial"/>
          <w:sz w:val="24"/>
          <w:szCs w:val="24"/>
        </w:rPr>
        <w:tab/>
      </w:r>
      <w:r w:rsidRPr="00F53FEC">
        <w:rPr>
          <w:rFonts w:ascii="Arial" w:hAnsi="Arial" w:cs="Arial"/>
          <w:sz w:val="24"/>
          <w:szCs w:val="24"/>
        </w:rPr>
        <w:t xml:space="preserve"> - - -  </w:t>
      </w:r>
    </w:p>
    <w:p w14:paraId="73EB4406" w14:textId="77777777" w:rsidR="00693397" w:rsidRPr="00F53FEC" w:rsidRDefault="00693397" w:rsidP="007E3759">
      <w:pPr>
        <w:pStyle w:val="ListBullet"/>
        <w:keepNext/>
        <w:keepLines/>
        <w:numPr>
          <w:ilvl w:val="0"/>
          <w:numId w:val="0"/>
        </w:numPr>
        <w:ind w:left="357"/>
        <w:rPr>
          <w:rFonts w:ascii="Arial" w:hAnsi="Arial" w:cs="Arial"/>
          <w:sz w:val="24"/>
          <w:szCs w:val="24"/>
        </w:rPr>
      </w:pPr>
      <w:r w:rsidRPr="00F53FEC">
        <w:rPr>
          <w:rFonts w:ascii="Arial" w:hAnsi="Arial" w:cs="Arial"/>
          <w:sz w:val="24"/>
          <w:szCs w:val="24"/>
        </w:rPr>
        <w:t xml:space="preserve">The recommendation is anticipated to have a major negative impact on the achievement of the objective, or have a major (negative) impact on the appraisal criterion. In relation to aspects of deliverability, the overall assessment is strongly negative with multiple identified risks and/or a high degree of uncertainty. </w:t>
      </w:r>
    </w:p>
    <w:p w14:paraId="239D9F2E" w14:textId="77777777" w:rsidR="00693397" w:rsidRPr="00F53FEC" w:rsidRDefault="00693397" w:rsidP="00693397">
      <w:pPr>
        <w:pStyle w:val="ListBullet"/>
        <w:numPr>
          <w:ilvl w:val="0"/>
          <w:numId w:val="0"/>
        </w:numPr>
      </w:pPr>
      <w:r w:rsidRPr="00F53FEC">
        <w:br w:type="page"/>
      </w:r>
    </w:p>
    <w:p w14:paraId="70F06B12" w14:textId="77777777" w:rsidR="00693397" w:rsidRPr="00F53FEC" w:rsidRDefault="00693397" w:rsidP="00F53FEC">
      <w:pPr>
        <w:pStyle w:val="STPR2Heading1"/>
        <w:rPr>
          <w:color w:val="auto"/>
        </w:rPr>
      </w:pPr>
      <w:bookmarkStart w:id="3" w:name="_Ref105504701"/>
      <w:r w:rsidRPr="00F53FEC">
        <w:rPr>
          <w:color w:val="auto"/>
        </w:rPr>
        <w:lastRenderedPageBreak/>
        <w:t>Assessment Criteria</w:t>
      </w:r>
      <w:bookmarkEnd w:id="3"/>
    </w:p>
    <w:p w14:paraId="524876B1" w14:textId="77777777" w:rsidR="00693397" w:rsidRPr="00F53FEC" w:rsidRDefault="00693397" w:rsidP="00693397">
      <w:pPr>
        <w:pStyle w:val="BodyText"/>
      </w:pPr>
      <w:r w:rsidRPr="00F53FEC">
        <w:t>The detailed appraisal considers the performance of each recommendation against the following criteria, using the seven-point scale outlined in Section 4 above. The criteria are:</w:t>
      </w:r>
    </w:p>
    <w:p w14:paraId="40FE4688" w14:textId="77777777" w:rsidR="00693397" w:rsidRPr="00F53FEC" w:rsidRDefault="00693397" w:rsidP="00693397">
      <w:pPr>
        <w:pStyle w:val="ListBullet"/>
        <w:tabs>
          <w:tab w:val="clear" w:pos="425"/>
        </w:tabs>
        <w:spacing w:after="160" w:line="259" w:lineRule="auto"/>
        <w:ind w:left="357" w:hanging="357"/>
        <w:rPr>
          <w:rFonts w:ascii="Arial" w:hAnsi="Arial" w:cs="Arial"/>
          <w:sz w:val="24"/>
          <w:szCs w:val="24"/>
        </w:rPr>
      </w:pPr>
      <w:r w:rsidRPr="00F53FEC">
        <w:rPr>
          <w:rFonts w:ascii="Arial" w:hAnsi="Arial" w:cs="Arial"/>
          <w:sz w:val="24"/>
          <w:szCs w:val="24"/>
        </w:rPr>
        <w:t>The five STPR2 Transport Planning Objectives (TPOs):</w:t>
      </w:r>
    </w:p>
    <w:p w14:paraId="75E4AE43" w14:textId="77777777" w:rsidR="00693397" w:rsidRPr="00F53FEC" w:rsidRDefault="00693397" w:rsidP="00E30FC1">
      <w:pPr>
        <w:pStyle w:val="STPR2BulletsLevel1"/>
        <w:numPr>
          <w:ilvl w:val="1"/>
          <w:numId w:val="5"/>
        </w:numPr>
      </w:pPr>
      <w:r w:rsidRPr="00F53FEC">
        <w:t>A sustainable strategic transport system that contributes significantly to the Scottish Government’s net-zero emissions target;</w:t>
      </w:r>
    </w:p>
    <w:p w14:paraId="60FE3EE4" w14:textId="77777777" w:rsidR="00693397" w:rsidRPr="00F53FEC" w:rsidRDefault="00693397" w:rsidP="00E30FC1">
      <w:pPr>
        <w:pStyle w:val="STPR2BulletsLevel1"/>
        <w:numPr>
          <w:ilvl w:val="1"/>
          <w:numId w:val="5"/>
        </w:numPr>
      </w:pPr>
      <w:r w:rsidRPr="00F53FEC">
        <w:t>An inclusive strategic transport system that improves the affordability and accessibility of public transport;</w:t>
      </w:r>
    </w:p>
    <w:p w14:paraId="14BFA917" w14:textId="77777777" w:rsidR="00693397" w:rsidRPr="00F53FEC" w:rsidRDefault="00693397" w:rsidP="00E30FC1">
      <w:pPr>
        <w:pStyle w:val="STPR2BulletsLevel1"/>
        <w:numPr>
          <w:ilvl w:val="1"/>
          <w:numId w:val="5"/>
        </w:numPr>
      </w:pPr>
      <w:r w:rsidRPr="00F53FEC">
        <w:t>A cohesive strategic transport system that enhances communities as places, supporting health and wellbeing;</w:t>
      </w:r>
    </w:p>
    <w:p w14:paraId="17C69F4A" w14:textId="77777777" w:rsidR="00693397" w:rsidRPr="00F53FEC" w:rsidRDefault="00693397" w:rsidP="00E30FC1">
      <w:pPr>
        <w:pStyle w:val="STPR2BulletsLevel1"/>
        <w:numPr>
          <w:ilvl w:val="1"/>
          <w:numId w:val="5"/>
        </w:numPr>
      </w:pPr>
      <w:r w:rsidRPr="00F53FEC">
        <w:t>An integrated strategic transport system that contributes towards sustainable inclusive growth in Scotland; and</w:t>
      </w:r>
    </w:p>
    <w:p w14:paraId="39D99BBF" w14:textId="77777777" w:rsidR="00693397" w:rsidRPr="00F53FEC" w:rsidRDefault="00693397" w:rsidP="00E30FC1">
      <w:pPr>
        <w:pStyle w:val="STPR2BulletsLevel1"/>
        <w:numPr>
          <w:ilvl w:val="1"/>
          <w:numId w:val="5"/>
        </w:numPr>
      </w:pPr>
      <w:r w:rsidRPr="00F53FEC">
        <w:t>A reliable and resilient strategic transport system that is safe and secure for users.</w:t>
      </w:r>
    </w:p>
    <w:p w14:paraId="6C38BB43" w14:textId="77777777" w:rsidR="00693397" w:rsidRPr="00F53FEC" w:rsidRDefault="00693397" w:rsidP="00693397">
      <w:pPr>
        <w:pStyle w:val="ListBullet"/>
        <w:tabs>
          <w:tab w:val="clear" w:pos="425"/>
        </w:tabs>
        <w:spacing w:after="160" w:line="259" w:lineRule="auto"/>
        <w:ind w:left="357" w:hanging="357"/>
        <w:rPr>
          <w:rFonts w:ascii="Arial" w:hAnsi="Arial" w:cs="Arial"/>
          <w:sz w:val="24"/>
          <w:szCs w:val="24"/>
        </w:rPr>
      </w:pPr>
      <w:r w:rsidRPr="00F53FEC">
        <w:rPr>
          <w:rFonts w:ascii="Arial" w:hAnsi="Arial" w:cs="Arial"/>
          <w:sz w:val="24"/>
          <w:szCs w:val="24"/>
        </w:rPr>
        <w:t>The five STAG criteria:</w:t>
      </w:r>
    </w:p>
    <w:p w14:paraId="5774E11D" w14:textId="77777777" w:rsidR="00693397" w:rsidRPr="00F53FEC" w:rsidRDefault="00693397" w:rsidP="00E30FC1">
      <w:pPr>
        <w:pStyle w:val="STPR2BulletsLevel1"/>
        <w:numPr>
          <w:ilvl w:val="1"/>
          <w:numId w:val="5"/>
        </w:numPr>
      </w:pPr>
      <w:r w:rsidRPr="00F53FEC">
        <w:t>Environment – encompassing Biodiversity and Habitats, Geology and Soils, Land Use, Water, Drainage and Flooding, Air Quality, Historic Environment, Landscape, and Noise and Vibration</w:t>
      </w:r>
    </w:p>
    <w:p w14:paraId="39ED0567" w14:textId="77777777" w:rsidR="00693397" w:rsidRPr="00F53FEC" w:rsidRDefault="00693397" w:rsidP="00E30FC1">
      <w:pPr>
        <w:pStyle w:val="STPR2BulletsLevel1"/>
        <w:numPr>
          <w:ilvl w:val="1"/>
          <w:numId w:val="5"/>
        </w:numPr>
      </w:pPr>
      <w:r w:rsidRPr="00F53FEC">
        <w:t xml:space="preserve">Climate Change – encompassing Greenhouse Gas Emissions, Vulnerability to Effects of Climate Change, and Potential to Adapt to Effects of Climate </w:t>
      </w:r>
      <w:proofErr w:type="gramStart"/>
      <w:r w:rsidRPr="00F53FEC">
        <w:t>Change;</w:t>
      </w:r>
      <w:proofErr w:type="gramEnd"/>
    </w:p>
    <w:p w14:paraId="54F52186" w14:textId="77777777" w:rsidR="00693397" w:rsidRPr="00F53FEC" w:rsidRDefault="00693397" w:rsidP="00E30FC1">
      <w:pPr>
        <w:pStyle w:val="STPR2BulletsLevel1"/>
        <w:numPr>
          <w:ilvl w:val="1"/>
          <w:numId w:val="5"/>
        </w:numPr>
      </w:pPr>
      <w:r w:rsidRPr="00F53FEC">
        <w:t>Health, Safety and Wellbeing – encompassing Accidents, Security, Health, Access to Health and Wellbeing Infrastructure and Visual Amenity;</w:t>
      </w:r>
    </w:p>
    <w:p w14:paraId="5B13FB1A" w14:textId="77777777" w:rsidR="00693397" w:rsidRPr="00F53FEC" w:rsidRDefault="00693397" w:rsidP="00E30FC1">
      <w:pPr>
        <w:pStyle w:val="STPR2BulletsLevel1"/>
        <w:numPr>
          <w:ilvl w:val="1"/>
          <w:numId w:val="5"/>
        </w:numPr>
      </w:pPr>
      <w:r w:rsidRPr="00F53FEC">
        <w:t>Economy – encompassing Transport Economic Efficient (TEE) and Wider Economic Impact (WEI); and</w:t>
      </w:r>
    </w:p>
    <w:p w14:paraId="28950417" w14:textId="77777777" w:rsidR="00693397" w:rsidRPr="00F53FEC" w:rsidRDefault="00693397" w:rsidP="00E30FC1">
      <w:pPr>
        <w:pStyle w:val="STPR2BulletsLevel1"/>
        <w:numPr>
          <w:ilvl w:val="1"/>
          <w:numId w:val="5"/>
        </w:numPr>
      </w:pPr>
      <w:r w:rsidRPr="00F53FEC">
        <w:t>Equality and Accessibility – encompassing Public &amp; Active Travel Network Coverage, Comparative Accessibility by People Groups and Geographic Location, and Affordability.</w:t>
      </w:r>
    </w:p>
    <w:p w14:paraId="77CAB28E" w14:textId="77777777" w:rsidR="00693397" w:rsidRPr="00F53FEC" w:rsidRDefault="00693397" w:rsidP="00693397">
      <w:pPr>
        <w:pStyle w:val="ListBullet"/>
        <w:tabs>
          <w:tab w:val="clear" w:pos="425"/>
        </w:tabs>
        <w:spacing w:after="160" w:line="259" w:lineRule="auto"/>
        <w:ind w:left="357" w:hanging="357"/>
        <w:rPr>
          <w:rFonts w:ascii="Arial" w:hAnsi="Arial" w:cs="Arial"/>
          <w:sz w:val="24"/>
          <w:szCs w:val="24"/>
        </w:rPr>
      </w:pPr>
      <w:r w:rsidRPr="00F53FEC">
        <w:rPr>
          <w:rFonts w:ascii="Arial" w:hAnsi="Arial" w:cs="Arial"/>
          <w:sz w:val="24"/>
          <w:szCs w:val="24"/>
        </w:rPr>
        <w:t>The three deliverability criteria:</w:t>
      </w:r>
    </w:p>
    <w:p w14:paraId="3630E760" w14:textId="77777777" w:rsidR="00693397" w:rsidRPr="00F53FEC" w:rsidRDefault="00693397" w:rsidP="00E30FC1">
      <w:pPr>
        <w:pStyle w:val="STPR2BulletsLevel1"/>
        <w:numPr>
          <w:ilvl w:val="1"/>
          <w:numId w:val="5"/>
        </w:numPr>
      </w:pPr>
      <w:r w:rsidRPr="00F53FEC">
        <w:t>Feasibility – of construction and operation, and status of technology and timescale or cost risks;</w:t>
      </w:r>
    </w:p>
    <w:p w14:paraId="0D291609" w14:textId="77777777" w:rsidR="00693397" w:rsidRPr="00F53FEC" w:rsidRDefault="00693397" w:rsidP="00E30FC1">
      <w:pPr>
        <w:pStyle w:val="STPR2BulletsLevel1"/>
        <w:numPr>
          <w:ilvl w:val="1"/>
          <w:numId w:val="5"/>
        </w:numPr>
      </w:pPr>
      <w:r w:rsidRPr="00F53FEC">
        <w:t>Affordability – scale of financial burden and risks associated with operating costs and likely revenue; and</w:t>
      </w:r>
    </w:p>
    <w:p w14:paraId="7C3F07AB" w14:textId="77777777" w:rsidR="00693397" w:rsidRPr="00F53FEC" w:rsidRDefault="00693397" w:rsidP="00E30FC1">
      <w:pPr>
        <w:pStyle w:val="STPR2BulletsLevel1"/>
        <w:numPr>
          <w:ilvl w:val="1"/>
          <w:numId w:val="5"/>
        </w:numPr>
      </w:pPr>
      <w:r w:rsidRPr="00F53FEC">
        <w:t>Public Acceptability – likely public response to option with reference to consultation findings where appropriate.</w:t>
      </w:r>
    </w:p>
    <w:p w14:paraId="1916385D" w14:textId="77777777" w:rsidR="00693397" w:rsidRPr="00F53FEC" w:rsidRDefault="00693397" w:rsidP="00693397">
      <w:pPr>
        <w:pStyle w:val="ListBullet"/>
        <w:tabs>
          <w:tab w:val="clear" w:pos="425"/>
        </w:tabs>
        <w:spacing w:after="160" w:line="259" w:lineRule="auto"/>
        <w:ind w:left="357" w:hanging="357"/>
        <w:rPr>
          <w:rFonts w:ascii="Arial" w:hAnsi="Arial" w:cs="Arial"/>
          <w:sz w:val="24"/>
          <w:szCs w:val="24"/>
        </w:rPr>
      </w:pPr>
      <w:r w:rsidRPr="00F53FEC">
        <w:rPr>
          <w:rFonts w:ascii="Arial" w:hAnsi="Arial" w:cs="Arial"/>
          <w:sz w:val="24"/>
          <w:szCs w:val="24"/>
        </w:rPr>
        <w:t>The five Statutory Impact Assessment criteria:</w:t>
      </w:r>
    </w:p>
    <w:p w14:paraId="047D0A66" w14:textId="77777777" w:rsidR="00693397" w:rsidRPr="00F53FEC" w:rsidRDefault="00693397" w:rsidP="00E30FC1">
      <w:pPr>
        <w:pStyle w:val="STPR2BulletsLevel1"/>
        <w:numPr>
          <w:ilvl w:val="1"/>
          <w:numId w:val="5"/>
        </w:numPr>
      </w:pPr>
      <w:r w:rsidRPr="00F53FEC">
        <w:t>Strategic Environmental Assessment (SEA);</w:t>
      </w:r>
    </w:p>
    <w:p w14:paraId="4C04B0E3" w14:textId="77777777" w:rsidR="00693397" w:rsidRPr="00F53FEC" w:rsidRDefault="00693397" w:rsidP="00E30FC1">
      <w:pPr>
        <w:pStyle w:val="STPR2BulletsLevel1"/>
        <w:numPr>
          <w:ilvl w:val="1"/>
          <w:numId w:val="5"/>
        </w:numPr>
      </w:pPr>
      <w:r w:rsidRPr="00F53FEC">
        <w:t>Equalities Impact Assessment (</w:t>
      </w:r>
      <w:proofErr w:type="spellStart"/>
      <w:r w:rsidRPr="00F53FEC">
        <w:t>EqIA</w:t>
      </w:r>
      <w:proofErr w:type="spellEnd"/>
      <w:r w:rsidRPr="00F53FEC">
        <w:t>);</w:t>
      </w:r>
    </w:p>
    <w:p w14:paraId="6B02D964" w14:textId="77777777" w:rsidR="00693397" w:rsidRPr="00F53FEC" w:rsidRDefault="00693397" w:rsidP="00E30FC1">
      <w:pPr>
        <w:pStyle w:val="STPR2BulletsLevel1"/>
        <w:numPr>
          <w:ilvl w:val="1"/>
          <w:numId w:val="5"/>
        </w:numPr>
      </w:pPr>
      <w:r w:rsidRPr="00F53FEC">
        <w:t>Island Communities Impact Assessment (ICIA);</w:t>
      </w:r>
    </w:p>
    <w:p w14:paraId="675AC4DE" w14:textId="77777777" w:rsidR="00693397" w:rsidRPr="00F53FEC" w:rsidRDefault="00693397" w:rsidP="00E30FC1">
      <w:pPr>
        <w:pStyle w:val="STPR2BulletsLevel1"/>
        <w:numPr>
          <w:ilvl w:val="1"/>
          <w:numId w:val="5"/>
        </w:numPr>
      </w:pPr>
      <w:r w:rsidRPr="00F53FEC">
        <w:t>Children’s Rights and Wellbeing Impact Assessment (CRWIA); and</w:t>
      </w:r>
    </w:p>
    <w:p w14:paraId="203F5616" w14:textId="77777777" w:rsidR="00693397" w:rsidRPr="00F53FEC" w:rsidRDefault="00693397" w:rsidP="00E30FC1">
      <w:pPr>
        <w:pStyle w:val="STPR2BulletsLevel1"/>
        <w:numPr>
          <w:ilvl w:val="1"/>
          <w:numId w:val="5"/>
        </w:numPr>
      </w:pPr>
      <w:r w:rsidRPr="00F53FEC">
        <w:t>Fairer Scotland Duty Assessment (FSDA).</w:t>
      </w:r>
    </w:p>
    <w:p w14:paraId="38D650E0" w14:textId="77777777" w:rsidR="00693397" w:rsidRPr="00F53FEC" w:rsidRDefault="00693397" w:rsidP="00693397">
      <w:pPr>
        <w:pStyle w:val="ListBullet"/>
        <w:tabs>
          <w:tab w:val="clear" w:pos="425"/>
        </w:tabs>
        <w:spacing w:after="160" w:line="259" w:lineRule="auto"/>
        <w:ind w:left="357" w:hanging="357"/>
        <w:rPr>
          <w:rFonts w:ascii="Arial" w:hAnsi="Arial" w:cs="Arial"/>
          <w:sz w:val="24"/>
          <w:szCs w:val="24"/>
        </w:rPr>
      </w:pPr>
      <w:r w:rsidRPr="00F53FEC">
        <w:rPr>
          <w:rFonts w:ascii="Arial" w:hAnsi="Arial" w:cs="Arial"/>
          <w:sz w:val="24"/>
          <w:szCs w:val="24"/>
        </w:rPr>
        <w:lastRenderedPageBreak/>
        <w:t xml:space="preserve">Specifically, the SEA has included an assessment of the options against the following specific SEA objectives: </w:t>
      </w:r>
    </w:p>
    <w:p w14:paraId="10E974C6" w14:textId="5FBA21F3"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 xml:space="preserve">Reduce emissions from Scotland’s transport sector by reducing the need to travel and encouraging modal shift and help meet Scotland’s wider targets to reduce greenhouse gas </w:t>
      </w:r>
      <w:proofErr w:type="gramStart"/>
      <w:r w:rsidRPr="00F53FEC">
        <w:rPr>
          <w:rFonts w:ascii="Arial" w:hAnsi="Arial" w:cs="Arial"/>
          <w:sz w:val="24"/>
          <w:szCs w:val="24"/>
        </w:rPr>
        <w:t>emissions</w:t>
      </w:r>
      <w:r w:rsidR="00E30FC1">
        <w:rPr>
          <w:rFonts w:ascii="Arial" w:hAnsi="Arial" w:cs="Arial"/>
          <w:sz w:val="24"/>
          <w:szCs w:val="24"/>
        </w:rPr>
        <w:t>;</w:t>
      </w:r>
      <w:proofErr w:type="gramEnd"/>
    </w:p>
    <w:p w14:paraId="673189C6" w14:textId="7E5C2FE5"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Adapt the transport network to the predicted effects of climate change</w:t>
      </w:r>
      <w:r w:rsidR="00E30FC1">
        <w:rPr>
          <w:rFonts w:ascii="Arial" w:hAnsi="Arial" w:cs="Arial"/>
          <w:sz w:val="24"/>
          <w:szCs w:val="24"/>
        </w:rPr>
        <w:t>;</w:t>
      </w:r>
    </w:p>
    <w:p w14:paraId="727F5375" w14:textId="56F3648A"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Reduce all forms of transport-related air pollution and improve air quality throughout Scotland</w:t>
      </w:r>
      <w:r w:rsidR="00E30FC1">
        <w:rPr>
          <w:rFonts w:ascii="Arial" w:hAnsi="Arial" w:cs="Arial"/>
          <w:sz w:val="24"/>
          <w:szCs w:val="24"/>
        </w:rPr>
        <w:t>;</w:t>
      </w:r>
    </w:p>
    <w:p w14:paraId="19B1AA3D" w14:textId="029F8DE6"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Improve quality of life and human health and increase sustainable access to essential services, employment and the natural environment</w:t>
      </w:r>
      <w:r w:rsidR="00E30FC1">
        <w:rPr>
          <w:rFonts w:ascii="Arial" w:hAnsi="Arial" w:cs="Arial"/>
          <w:sz w:val="24"/>
          <w:szCs w:val="24"/>
        </w:rPr>
        <w:t>;</w:t>
      </w:r>
    </w:p>
    <w:p w14:paraId="4FDCAE04" w14:textId="0AAEE48A"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Reduce noise and vibration associated with the transport network</w:t>
      </w:r>
      <w:r w:rsidR="00E30FC1">
        <w:rPr>
          <w:rFonts w:ascii="Arial" w:hAnsi="Arial" w:cs="Arial"/>
          <w:sz w:val="24"/>
          <w:szCs w:val="24"/>
        </w:rPr>
        <w:t>;</w:t>
      </w:r>
    </w:p>
    <w:p w14:paraId="600CB0B5" w14:textId="07F3777C"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Promote, invest in, build and maintain infrastructure to support the development of high-quality places</w:t>
      </w:r>
      <w:r w:rsidR="00E30FC1">
        <w:rPr>
          <w:rFonts w:ascii="Arial" w:hAnsi="Arial" w:cs="Arial"/>
          <w:sz w:val="24"/>
          <w:szCs w:val="24"/>
        </w:rPr>
        <w:t>;</w:t>
      </w:r>
    </w:p>
    <w:p w14:paraId="61E4071D" w14:textId="62A9E0E6"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Improve safety on the transport network</w:t>
      </w:r>
      <w:r w:rsidR="00E30FC1">
        <w:rPr>
          <w:rFonts w:ascii="Arial" w:hAnsi="Arial" w:cs="Arial"/>
          <w:sz w:val="24"/>
          <w:szCs w:val="24"/>
        </w:rPr>
        <w:t>;</w:t>
      </w:r>
    </w:p>
    <w:p w14:paraId="03F1CAF1" w14:textId="051E69D4"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Promote and improve the sustainable use of the transport network</w:t>
      </w:r>
      <w:r w:rsidR="00E30FC1">
        <w:rPr>
          <w:rFonts w:ascii="Arial" w:hAnsi="Arial" w:cs="Arial"/>
          <w:sz w:val="24"/>
          <w:szCs w:val="24"/>
        </w:rPr>
        <w:t>;</w:t>
      </w:r>
    </w:p>
    <w:p w14:paraId="6E032623" w14:textId="66009F79"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Reduce use of natural resources</w:t>
      </w:r>
      <w:r w:rsidR="00E30FC1">
        <w:rPr>
          <w:rFonts w:ascii="Arial" w:hAnsi="Arial" w:cs="Arial"/>
          <w:sz w:val="24"/>
          <w:szCs w:val="24"/>
        </w:rPr>
        <w:t>;</w:t>
      </w:r>
    </w:p>
    <w:p w14:paraId="09DAFB76" w14:textId="40E6AC39"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Protect, maintain and improve the quality of water bodies and wetlands that could be directly or indirectly affected by transport infrastructure (with respect to Water Framework Directive targets) and protect against the risk of flooding</w:t>
      </w:r>
      <w:r w:rsidR="00E30FC1">
        <w:rPr>
          <w:rFonts w:ascii="Arial" w:hAnsi="Arial" w:cs="Arial"/>
          <w:sz w:val="24"/>
          <w:szCs w:val="24"/>
        </w:rPr>
        <w:t>;</w:t>
      </w:r>
    </w:p>
    <w:p w14:paraId="30EDA354" w14:textId="3403761A"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Protect, maintain and enhance biodiversity and ecosystem services, avoiding damage to or loss of designated and undesignated wildlife or geological sites</w:t>
      </w:r>
      <w:r w:rsidR="00E30FC1">
        <w:rPr>
          <w:rFonts w:ascii="Arial" w:hAnsi="Arial" w:cs="Arial"/>
          <w:sz w:val="24"/>
          <w:szCs w:val="24"/>
        </w:rPr>
        <w:t>;</w:t>
      </w:r>
    </w:p>
    <w:p w14:paraId="279F8F9B" w14:textId="5B00CF54"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Safeguard and improve soil quality in Scotland, particularly high value agricultural land and carbon-rich soil</w:t>
      </w:r>
      <w:r w:rsidR="00E30FC1">
        <w:rPr>
          <w:rFonts w:ascii="Arial" w:hAnsi="Arial" w:cs="Arial"/>
          <w:sz w:val="24"/>
          <w:szCs w:val="24"/>
        </w:rPr>
        <w:t>;</w:t>
      </w:r>
    </w:p>
    <w:p w14:paraId="2F54E8BA" w14:textId="58A4BD98"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Protect and enhance (where appropriate) historic and archaeological sites and other culturally and historically important features, landscapes and their settings</w:t>
      </w:r>
      <w:r w:rsidR="00E30FC1">
        <w:rPr>
          <w:rFonts w:ascii="Arial" w:hAnsi="Arial" w:cs="Arial"/>
          <w:sz w:val="24"/>
          <w:szCs w:val="24"/>
        </w:rPr>
        <w:t>; and</w:t>
      </w:r>
    </w:p>
    <w:p w14:paraId="677102FB" w14:textId="77777777" w:rsidR="00693397" w:rsidRPr="00F53FEC" w:rsidRDefault="00693397" w:rsidP="00693397">
      <w:pPr>
        <w:pStyle w:val="ListNumber"/>
        <w:numPr>
          <w:ilvl w:val="0"/>
          <w:numId w:val="32"/>
        </w:numPr>
        <w:tabs>
          <w:tab w:val="clear" w:pos="360"/>
          <w:tab w:val="num" w:pos="644"/>
        </w:tabs>
        <w:ind w:left="644"/>
        <w:rPr>
          <w:rFonts w:ascii="Arial" w:hAnsi="Arial" w:cs="Arial"/>
          <w:sz w:val="24"/>
          <w:szCs w:val="24"/>
        </w:rPr>
      </w:pPr>
      <w:r w:rsidRPr="00F53FEC">
        <w:rPr>
          <w:rFonts w:ascii="Arial" w:hAnsi="Arial" w:cs="Arial"/>
          <w:sz w:val="24"/>
          <w:szCs w:val="24"/>
        </w:rPr>
        <w:t>Safeguard and enhance the character and diversity of the Scottish landscape and areas of valuable landscape.</w:t>
      </w:r>
    </w:p>
    <w:p w14:paraId="758C4819" w14:textId="77777777" w:rsidR="00693397" w:rsidRPr="00F53FEC" w:rsidRDefault="00693397" w:rsidP="00693397">
      <w:pPr>
        <w:pStyle w:val="ListBullet"/>
        <w:tabs>
          <w:tab w:val="clear" w:pos="425"/>
        </w:tabs>
        <w:spacing w:after="160" w:line="259" w:lineRule="auto"/>
        <w:ind w:left="357" w:hanging="357"/>
        <w:rPr>
          <w:rFonts w:ascii="Arial" w:hAnsi="Arial" w:cs="Arial"/>
          <w:sz w:val="24"/>
          <w:szCs w:val="24"/>
        </w:rPr>
      </w:pPr>
      <w:r w:rsidRPr="00F53FEC">
        <w:rPr>
          <w:rFonts w:ascii="Arial" w:hAnsi="Arial" w:cs="Arial"/>
          <w:sz w:val="24"/>
          <w:szCs w:val="24"/>
        </w:rPr>
        <w:t>The eight cost bands that have been used to determine the estimated capital costs of the recommendation are as follows:</w:t>
      </w:r>
    </w:p>
    <w:p w14:paraId="21B6DD05" w14:textId="5FA7F1CB" w:rsidR="00693397" w:rsidRPr="00F53FEC" w:rsidRDefault="00E30FC1" w:rsidP="00E30FC1">
      <w:pPr>
        <w:pStyle w:val="STPR2BulletsLevel1"/>
        <w:numPr>
          <w:ilvl w:val="1"/>
          <w:numId w:val="5"/>
        </w:numPr>
      </w:pPr>
      <w:r>
        <w:t xml:space="preserve">Band 1: </w:t>
      </w:r>
      <w:r w:rsidR="00693397" w:rsidRPr="00F53FEC">
        <w:t>Under £25m</w:t>
      </w:r>
      <w:r>
        <w:t>;</w:t>
      </w:r>
    </w:p>
    <w:p w14:paraId="7F49DF0E" w14:textId="48F3DD73" w:rsidR="00693397" w:rsidRPr="00F53FEC" w:rsidRDefault="00E30FC1" w:rsidP="00E30FC1">
      <w:pPr>
        <w:pStyle w:val="STPR2BulletsLevel1"/>
        <w:numPr>
          <w:ilvl w:val="1"/>
          <w:numId w:val="5"/>
        </w:numPr>
      </w:pPr>
      <w:r>
        <w:t xml:space="preserve">Band 2: </w:t>
      </w:r>
      <w:r w:rsidR="00693397" w:rsidRPr="00F53FEC">
        <w:t>£26m - £50m</w:t>
      </w:r>
      <w:r>
        <w:t>;</w:t>
      </w:r>
    </w:p>
    <w:p w14:paraId="4FFF1EE9" w14:textId="4E836369" w:rsidR="00693397" w:rsidRPr="00F53FEC" w:rsidRDefault="00E30FC1" w:rsidP="00E30FC1">
      <w:pPr>
        <w:pStyle w:val="STPR2BulletsLevel1"/>
        <w:numPr>
          <w:ilvl w:val="1"/>
          <w:numId w:val="5"/>
        </w:numPr>
      </w:pPr>
      <w:r>
        <w:t xml:space="preserve">Band 3: </w:t>
      </w:r>
      <w:r w:rsidR="00693397" w:rsidRPr="00F53FEC">
        <w:t>£51m - £100m</w:t>
      </w:r>
      <w:r>
        <w:t>;</w:t>
      </w:r>
    </w:p>
    <w:p w14:paraId="0951B02F" w14:textId="21899CCC" w:rsidR="00693397" w:rsidRPr="00F53FEC" w:rsidRDefault="00E30FC1" w:rsidP="00E30FC1">
      <w:pPr>
        <w:pStyle w:val="STPR2BulletsLevel1"/>
        <w:numPr>
          <w:ilvl w:val="1"/>
          <w:numId w:val="5"/>
        </w:numPr>
      </w:pPr>
      <w:r>
        <w:t xml:space="preserve">Band 4: </w:t>
      </w:r>
      <w:r w:rsidR="00693397" w:rsidRPr="00F53FEC">
        <w:t>£101m - £500m</w:t>
      </w:r>
      <w:r>
        <w:t>;</w:t>
      </w:r>
    </w:p>
    <w:p w14:paraId="1DE09EE4" w14:textId="3750F5EF" w:rsidR="00693397" w:rsidRPr="00F53FEC" w:rsidRDefault="00E30FC1" w:rsidP="00E30FC1">
      <w:pPr>
        <w:pStyle w:val="STPR2BulletsLevel1"/>
        <w:numPr>
          <w:ilvl w:val="1"/>
          <w:numId w:val="5"/>
        </w:numPr>
      </w:pPr>
      <w:r>
        <w:t xml:space="preserve">Band 5: </w:t>
      </w:r>
      <w:r w:rsidR="00693397" w:rsidRPr="00F53FEC">
        <w:t>£501m - £1,000m</w:t>
      </w:r>
      <w:r>
        <w:t>;</w:t>
      </w:r>
    </w:p>
    <w:p w14:paraId="4D3C63EC" w14:textId="37F791AA" w:rsidR="00693397" w:rsidRPr="00F53FEC" w:rsidRDefault="00E30FC1" w:rsidP="00E30FC1">
      <w:pPr>
        <w:pStyle w:val="STPR2BulletsLevel1"/>
        <w:numPr>
          <w:ilvl w:val="1"/>
          <w:numId w:val="5"/>
        </w:numPr>
      </w:pPr>
      <w:r>
        <w:t xml:space="preserve">Band 6: </w:t>
      </w:r>
      <w:r w:rsidR="00693397" w:rsidRPr="00F53FEC">
        <w:t>£1,001m - £2,500m</w:t>
      </w:r>
      <w:r>
        <w:t>;</w:t>
      </w:r>
    </w:p>
    <w:p w14:paraId="20D23F6F" w14:textId="44A608DA" w:rsidR="00693397" w:rsidRPr="00F53FEC" w:rsidRDefault="00E30FC1" w:rsidP="00E30FC1">
      <w:pPr>
        <w:pStyle w:val="STPR2BulletsLevel1"/>
        <w:numPr>
          <w:ilvl w:val="1"/>
          <w:numId w:val="5"/>
        </w:numPr>
      </w:pPr>
      <w:r>
        <w:t xml:space="preserve">Band 7: </w:t>
      </w:r>
      <w:r w:rsidR="00693397" w:rsidRPr="00F53FEC">
        <w:t>£2,501m - £5,000m</w:t>
      </w:r>
      <w:r>
        <w:t>; and</w:t>
      </w:r>
    </w:p>
    <w:p w14:paraId="3CD851FA" w14:textId="192C9DA1" w:rsidR="00693397" w:rsidRPr="00F53FEC" w:rsidRDefault="00E30FC1" w:rsidP="00E30FC1">
      <w:pPr>
        <w:pStyle w:val="STPR2BulletsLevel1"/>
        <w:numPr>
          <w:ilvl w:val="1"/>
          <w:numId w:val="5"/>
        </w:numPr>
      </w:pPr>
      <w:r>
        <w:t xml:space="preserve">Band 8: </w:t>
      </w:r>
      <w:r w:rsidR="00693397" w:rsidRPr="00F53FEC">
        <w:t>Over £5,000m</w:t>
      </w:r>
    </w:p>
    <w:p w14:paraId="51CDB6B1" w14:textId="77777777" w:rsidR="00693397" w:rsidRPr="00F53FEC" w:rsidRDefault="00693397" w:rsidP="00693397">
      <w:pPr>
        <w:rPr>
          <w:sz w:val="24"/>
          <w:szCs w:val="24"/>
        </w:rPr>
      </w:pPr>
      <w:r w:rsidRPr="00F53FEC">
        <w:br w:type="page"/>
      </w:r>
    </w:p>
    <w:p w14:paraId="5BE67A18" w14:textId="77777777" w:rsidR="00693397" w:rsidRPr="00F53FEC" w:rsidRDefault="00693397" w:rsidP="00F53FEC">
      <w:pPr>
        <w:pStyle w:val="STPR2Heading1"/>
        <w:rPr>
          <w:color w:val="auto"/>
        </w:rPr>
      </w:pPr>
      <w:bookmarkStart w:id="4" w:name="_Ref105504721"/>
      <w:r w:rsidRPr="00F53FEC">
        <w:rPr>
          <w:color w:val="auto"/>
        </w:rPr>
        <w:lastRenderedPageBreak/>
        <w:t>Glossary of Terms</w:t>
      </w:r>
      <w:bookmarkEnd w:id="4"/>
    </w:p>
    <w:p w14:paraId="3C493D16" w14:textId="77777777" w:rsidR="00693397" w:rsidRDefault="00693397" w:rsidP="00693397">
      <w:pPr>
        <w:pStyle w:val="BodyText"/>
        <w:rPr>
          <w:b/>
        </w:rPr>
      </w:pPr>
    </w:p>
    <w:p w14:paraId="33E6C3BC" w14:textId="166503A3" w:rsidR="00693397" w:rsidRDefault="00693397" w:rsidP="00693397">
      <w:pPr>
        <w:pStyle w:val="BodyText"/>
      </w:pPr>
      <w:r w:rsidRPr="005F7812">
        <w:rPr>
          <w:b/>
        </w:rPr>
        <w:t>High Scenario</w:t>
      </w:r>
      <w:r>
        <w:t xml:space="preserve"> – this scenario assumes no policy ambition on car kilometres and is similar to a traditional “Do Minimum” forecast.</w:t>
      </w:r>
      <w:r w:rsidRPr="00470388">
        <w:t xml:space="preserve"> It is fully referred to as “</w:t>
      </w:r>
      <w:r w:rsidRPr="00B6583E">
        <w:rPr>
          <w:lang w:eastAsia="en-US"/>
        </w:rPr>
        <w:t>High growth sensitivity with no policy ambition on car km”</w:t>
      </w:r>
      <w:r>
        <w:rPr>
          <w:lang w:eastAsia="en-US"/>
        </w:rPr>
        <w:t xml:space="preserve">.  Further information is provided in Appendix F. </w:t>
      </w:r>
    </w:p>
    <w:p w14:paraId="36EFD50B" w14:textId="1A36121A" w:rsidR="00693397" w:rsidRDefault="00693397" w:rsidP="00693397">
      <w:pPr>
        <w:pStyle w:val="BodyText"/>
      </w:pPr>
      <w:r w:rsidRPr="005F7812">
        <w:rPr>
          <w:b/>
        </w:rPr>
        <w:t>Low Scenario</w:t>
      </w:r>
      <w:r>
        <w:t xml:space="preserve"> – this scenario assumes a 20 per cent reduction policy ambition on car kilometres</w:t>
      </w:r>
      <w:r w:rsidRPr="00496A6D">
        <w:t>. It is fully referred to as “</w:t>
      </w:r>
      <w:r w:rsidRPr="00B6583E">
        <w:rPr>
          <w:lang w:eastAsia="en-US"/>
        </w:rPr>
        <w:t>Low growth sensitivity with a 20% reduction policy ambition on car km”.</w:t>
      </w:r>
      <w:r>
        <w:rPr>
          <w:lang w:eastAsia="en-US"/>
        </w:rPr>
        <w:t xml:space="preserve">  Further information is provided in Appendix F.</w:t>
      </w:r>
    </w:p>
    <w:p w14:paraId="7DD7087E" w14:textId="43295854" w:rsidR="007E3759" w:rsidRDefault="007E3759" w:rsidP="007E3759">
      <w:pPr>
        <w:pStyle w:val="BodyText"/>
      </w:pPr>
      <w:r w:rsidRPr="007E3759">
        <w:rPr>
          <w:b/>
          <w:bCs w:val="0"/>
        </w:rPr>
        <w:t>Acronyms</w:t>
      </w:r>
      <w:r w:rsidRPr="007E3759">
        <w:tab/>
      </w:r>
    </w:p>
    <w:p w14:paraId="242E65E2" w14:textId="00E05630" w:rsidR="007E3759" w:rsidRPr="007E3759" w:rsidRDefault="007E3759" w:rsidP="007E3759">
      <w:pPr>
        <w:pStyle w:val="BodyText"/>
      </w:pPr>
      <w:r>
        <w:t>Acronyms and their definitions are provided below.</w:t>
      </w:r>
    </w:p>
    <w:p w14:paraId="3D6DBC30" w14:textId="39571341" w:rsidR="007E3759" w:rsidRPr="007E3759" w:rsidRDefault="007E3759" w:rsidP="007E3759">
      <w:pPr>
        <w:pStyle w:val="BodyText"/>
      </w:pPr>
      <w:r w:rsidRPr="007E3759">
        <w:t>APPI</w:t>
      </w:r>
      <w:r w:rsidRPr="007E3759">
        <w:tab/>
      </w:r>
      <w:r>
        <w:tab/>
      </w:r>
      <w:r w:rsidRPr="007E3759">
        <w:t>Assembly of Planning Policy Inputs process (land use planning data)</w:t>
      </w:r>
    </w:p>
    <w:p w14:paraId="35D9655D" w14:textId="5C8A77B5" w:rsidR="007E3759" w:rsidRPr="007E3759" w:rsidRDefault="007E3759" w:rsidP="007E3759">
      <w:pPr>
        <w:pStyle w:val="BodyText"/>
      </w:pPr>
      <w:r w:rsidRPr="007E3759">
        <w:t>AST</w:t>
      </w:r>
      <w:r w:rsidRPr="007E3759">
        <w:tab/>
      </w:r>
      <w:r>
        <w:tab/>
      </w:r>
      <w:r w:rsidRPr="007E3759">
        <w:t>Appraisal Summary Table</w:t>
      </w:r>
    </w:p>
    <w:p w14:paraId="70127826" w14:textId="471F50EA" w:rsidR="007E3759" w:rsidRPr="007E3759" w:rsidRDefault="007E3759" w:rsidP="007E3759">
      <w:pPr>
        <w:pStyle w:val="BodyText"/>
      </w:pPr>
      <w:r w:rsidRPr="007E3759">
        <w:t>BRT</w:t>
      </w:r>
      <w:r w:rsidRPr="007E3759">
        <w:tab/>
      </w:r>
      <w:r>
        <w:tab/>
      </w:r>
      <w:r w:rsidRPr="007E3759">
        <w:t>Bus Rapid Transit</w:t>
      </w:r>
    </w:p>
    <w:p w14:paraId="0F984211" w14:textId="17700C02" w:rsidR="007E3759" w:rsidRPr="007E3759" w:rsidRDefault="007E3759" w:rsidP="007E3759">
      <w:pPr>
        <w:pStyle w:val="BodyText"/>
      </w:pPr>
      <w:r w:rsidRPr="007E3759">
        <w:t>BSL</w:t>
      </w:r>
      <w:r w:rsidRPr="007E3759">
        <w:tab/>
      </w:r>
      <w:r>
        <w:tab/>
      </w:r>
      <w:r w:rsidRPr="007E3759">
        <w:t>British Sign Language</w:t>
      </w:r>
    </w:p>
    <w:p w14:paraId="5F2B4E2E" w14:textId="40896AE3" w:rsidR="007E3759" w:rsidRPr="007E3759" w:rsidRDefault="007E3759" w:rsidP="007E3759">
      <w:pPr>
        <w:pStyle w:val="BodyText"/>
      </w:pPr>
      <w:r w:rsidRPr="007E3759">
        <w:t>CAV</w:t>
      </w:r>
      <w:r w:rsidRPr="007E3759">
        <w:tab/>
      </w:r>
      <w:r>
        <w:tab/>
      </w:r>
      <w:r w:rsidRPr="007E3759">
        <w:t>Connected and Autonomous Vehicle</w:t>
      </w:r>
    </w:p>
    <w:p w14:paraId="1B6329E8" w14:textId="77777777" w:rsidR="007E3759" w:rsidRPr="007E3759" w:rsidRDefault="007E3759" w:rsidP="007E3759">
      <w:pPr>
        <w:pStyle w:val="BodyText"/>
      </w:pPr>
      <w:r w:rsidRPr="007E3759">
        <w:t>CCRA3</w:t>
      </w:r>
      <w:r w:rsidRPr="007E3759">
        <w:tab/>
        <w:t>Climate Change Risk Assessment 3</w:t>
      </w:r>
    </w:p>
    <w:p w14:paraId="464B7209" w14:textId="72D66F36" w:rsidR="007E3759" w:rsidRPr="007E3759" w:rsidRDefault="007E3759" w:rsidP="007E3759">
      <w:pPr>
        <w:pStyle w:val="BodyText"/>
      </w:pPr>
      <w:r w:rsidRPr="007E3759">
        <w:t>CCTV</w:t>
      </w:r>
      <w:r w:rsidRPr="007E3759">
        <w:tab/>
      </w:r>
      <w:r>
        <w:tab/>
      </w:r>
      <w:r w:rsidRPr="007E3759">
        <w:t>Closed-Circuit Television</w:t>
      </w:r>
    </w:p>
    <w:p w14:paraId="5762AB6B" w14:textId="27756846" w:rsidR="007E3759" w:rsidRPr="007E3759" w:rsidRDefault="007E3759" w:rsidP="007E3759">
      <w:pPr>
        <w:pStyle w:val="BodyText"/>
      </w:pPr>
      <w:r w:rsidRPr="007E3759">
        <w:t>CHFS</w:t>
      </w:r>
      <w:r w:rsidRPr="007E3759">
        <w:tab/>
      </w:r>
      <w:r>
        <w:tab/>
      </w:r>
      <w:r w:rsidRPr="007E3759">
        <w:t>Clyde and Hebrides Ferry Services</w:t>
      </w:r>
    </w:p>
    <w:p w14:paraId="7F571424" w14:textId="5E2E106E" w:rsidR="007E3759" w:rsidRPr="007E3759" w:rsidRDefault="007E3759" w:rsidP="007E3759">
      <w:pPr>
        <w:pStyle w:val="BodyText"/>
      </w:pPr>
      <w:r w:rsidRPr="007E3759">
        <w:t>C-ITS</w:t>
      </w:r>
      <w:r w:rsidRPr="007E3759">
        <w:tab/>
      </w:r>
      <w:r>
        <w:tab/>
      </w:r>
      <w:r w:rsidRPr="007E3759">
        <w:t>Cooperative Intelligent Transport Systems</w:t>
      </w:r>
    </w:p>
    <w:p w14:paraId="4AAC94F9" w14:textId="77777777" w:rsidR="007E3759" w:rsidRPr="007E3759" w:rsidRDefault="007E3759" w:rsidP="007E3759">
      <w:pPr>
        <w:pStyle w:val="BodyText"/>
      </w:pPr>
      <w:r w:rsidRPr="007E3759">
        <w:t>COSLA</w:t>
      </w:r>
      <w:r w:rsidRPr="007E3759">
        <w:tab/>
        <w:t>Convention of Scottish Local Authorities</w:t>
      </w:r>
    </w:p>
    <w:p w14:paraId="59DC03E0" w14:textId="77777777" w:rsidR="007E3759" w:rsidRPr="007E3759" w:rsidRDefault="007E3759" w:rsidP="007E3759">
      <w:pPr>
        <w:pStyle w:val="BodyText"/>
      </w:pPr>
      <w:r w:rsidRPr="007E3759">
        <w:t>CRWIA</w:t>
      </w:r>
      <w:r w:rsidRPr="007E3759">
        <w:tab/>
        <w:t>Child Rights and Wellbeing Impact Assessment</w:t>
      </w:r>
    </w:p>
    <w:p w14:paraId="688D8609" w14:textId="28394559" w:rsidR="007E3759" w:rsidRPr="007E3759" w:rsidRDefault="007E3759" w:rsidP="007E3759">
      <w:pPr>
        <w:pStyle w:val="BodyText"/>
      </w:pPr>
      <w:r w:rsidRPr="007E3759">
        <w:t>CSR</w:t>
      </w:r>
      <w:r w:rsidRPr="007E3759">
        <w:tab/>
      </w:r>
      <w:r>
        <w:tab/>
      </w:r>
      <w:r w:rsidRPr="007E3759">
        <w:t>Capital Spending Review</w:t>
      </w:r>
    </w:p>
    <w:p w14:paraId="185BE30F" w14:textId="382624B3" w:rsidR="007E3759" w:rsidRPr="007E3759" w:rsidRDefault="007E3759" w:rsidP="007E3759">
      <w:pPr>
        <w:pStyle w:val="BodyText"/>
      </w:pPr>
      <w:r w:rsidRPr="007E3759">
        <w:t>CT</w:t>
      </w:r>
      <w:r w:rsidRPr="007E3759">
        <w:tab/>
      </w:r>
      <w:r>
        <w:tab/>
      </w:r>
      <w:r w:rsidRPr="007E3759">
        <w:t>Community Transport</w:t>
      </w:r>
    </w:p>
    <w:p w14:paraId="18227D7C" w14:textId="2A5AB7CD" w:rsidR="007E3759" w:rsidRPr="007E3759" w:rsidRDefault="007E3759" w:rsidP="007E3759">
      <w:pPr>
        <w:pStyle w:val="BodyText"/>
      </w:pPr>
      <w:r w:rsidRPr="007E3759">
        <w:t>DMRB</w:t>
      </w:r>
      <w:r w:rsidRPr="007E3759">
        <w:tab/>
      </w:r>
      <w:r>
        <w:tab/>
      </w:r>
      <w:r w:rsidRPr="007E3759">
        <w:t>Design Manual for Roads and Bridges</w:t>
      </w:r>
    </w:p>
    <w:p w14:paraId="7E34B903" w14:textId="754A05F7" w:rsidR="007E3759" w:rsidRPr="007E3759" w:rsidRDefault="007E3759" w:rsidP="007E3759">
      <w:pPr>
        <w:pStyle w:val="BodyText"/>
      </w:pPr>
      <w:r w:rsidRPr="007E3759">
        <w:t>DRT</w:t>
      </w:r>
      <w:r w:rsidRPr="007E3759">
        <w:tab/>
      </w:r>
      <w:r>
        <w:tab/>
      </w:r>
      <w:r w:rsidRPr="007E3759">
        <w:t>Demand Responsive Transport</w:t>
      </w:r>
    </w:p>
    <w:p w14:paraId="47AAA66B" w14:textId="33D3D469" w:rsidR="007E3759" w:rsidRPr="007E3759" w:rsidRDefault="007E3759" w:rsidP="007E3759">
      <w:pPr>
        <w:pStyle w:val="BodyText"/>
      </w:pPr>
      <w:r w:rsidRPr="007E3759">
        <w:t>ECML</w:t>
      </w:r>
      <w:r w:rsidRPr="007E3759">
        <w:tab/>
      </w:r>
      <w:r>
        <w:tab/>
      </w:r>
      <w:r w:rsidRPr="007E3759">
        <w:t>East Coast Main Line</w:t>
      </w:r>
    </w:p>
    <w:p w14:paraId="78BF3A4C" w14:textId="60888766" w:rsidR="007E3759" w:rsidRPr="007E3759" w:rsidRDefault="007E3759" w:rsidP="007E3759">
      <w:pPr>
        <w:pStyle w:val="BodyText"/>
      </w:pPr>
      <w:proofErr w:type="spellStart"/>
      <w:r w:rsidRPr="007E3759">
        <w:t>EqIA</w:t>
      </w:r>
      <w:proofErr w:type="spellEnd"/>
      <w:r w:rsidRPr="007E3759">
        <w:tab/>
      </w:r>
      <w:r>
        <w:tab/>
      </w:r>
      <w:r w:rsidRPr="007E3759">
        <w:t>Equality Impact Assessment</w:t>
      </w:r>
    </w:p>
    <w:p w14:paraId="5B2C773C" w14:textId="70BF4A4A" w:rsidR="007E3759" w:rsidRPr="007E3759" w:rsidRDefault="007E3759" w:rsidP="007E3759">
      <w:pPr>
        <w:pStyle w:val="BodyText"/>
      </w:pPr>
      <w:r w:rsidRPr="007E3759">
        <w:t>FSDA</w:t>
      </w:r>
      <w:r w:rsidRPr="007E3759">
        <w:tab/>
      </w:r>
      <w:r>
        <w:tab/>
      </w:r>
      <w:r w:rsidRPr="007E3759">
        <w:t>Fairer Scotland Duty Assessment</w:t>
      </w:r>
    </w:p>
    <w:p w14:paraId="53E71BED" w14:textId="7591EAD9" w:rsidR="007E3759" w:rsidRPr="007E3759" w:rsidRDefault="007E3759" w:rsidP="007E3759">
      <w:pPr>
        <w:pStyle w:val="BodyText"/>
      </w:pPr>
      <w:r w:rsidRPr="007E3759">
        <w:t>FMS</w:t>
      </w:r>
      <w:r w:rsidRPr="007E3759">
        <w:tab/>
      </w:r>
      <w:r>
        <w:tab/>
      </w:r>
      <w:r w:rsidRPr="007E3759">
        <w:t>Fault Management System</w:t>
      </w:r>
    </w:p>
    <w:p w14:paraId="642738D9" w14:textId="79EB6B4F" w:rsidR="007E3759" w:rsidRPr="007E3759" w:rsidRDefault="007E3759" w:rsidP="007E3759">
      <w:pPr>
        <w:pStyle w:val="BodyText"/>
      </w:pPr>
      <w:r w:rsidRPr="007E3759">
        <w:t>GDP</w:t>
      </w:r>
      <w:r w:rsidRPr="007E3759">
        <w:tab/>
      </w:r>
      <w:r>
        <w:tab/>
      </w:r>
      <w:r w:rsidRPr="007E3759">
        <w:t>Gross Domestic Product</w:t>
      </w:r>
    </w:p>
    <w:p w14:paraId="4FBCD04C" w14:textId="5780A5DE" w:rsidR="007E3759" w:rsidRPr="007E3759" w:rsidRDefault="007E3759" w:rsidP="007E3759">
      <w:pPr>
        <w:pStyle w:val="BodyText"/>
      </w:pPr>
      <w:r w:rsidRPr="007E3759">
        <w:t>HGV</w:t>
      </w:r>
      <w:r w:rsidRPr="007E3759">
        <w:tab/>
      </w:r>
      <w:r>
        <w:tab/>
      </w:r>
      <w:r w:rsidRPr="007E3759">
        <w:t>Heavy Goods Vehicles</w:t>
      </w:r>
    </w:p>
    <w:p w14:paraId="198FC9EE" w14:textId="7D680C56" w:rsidR="007E3759" w:rsidRPr="007E3759" w:rsidRDefault="007E3759" w:rsidP="007E3759">
      <w:pPr>
        <w:pStyle w:val="BodyText"/>
      </w:pPr>
      <w:r w:rsidRPr="007E3759">
        <w:lastRenderedPageBreak/>
        <w:t>HRA</w:t>
      </w:r>
      <w:r w:rsidRPr="007E3759">
        <w:tab/>
      </w:r>
      <w:r>
        <w:tab/>
      </w:r>
      <w:r w:rsidRPr="007E3759">
        <w:t xml:space="preserve">Habitat Regulations Appraisal </w:t>
      </w:r>
    </w:p>
    <w:p w14:paraId="3C426C87" w14:textId="1BAE4584" w:rsidR="007E3759" w:rsidRPr="007E3759" w:rsidRDefault="007E3759" w:rsidP="007E3759">
      <w:pPr>
        <w:pStyle w:val="BodyText"/>
      </w:pPr>
      <w:r w:rsidRPr="007E3759">
        <w:t>HS2</w:t>
      </w:r>
      <w:r>
        <w:tab/>
      </w:r>
      <w:r w:rsidRPr="007E3759">
        <w:tab/>
        <w:t>High Speed Two</w:t>
      </w:r>
    </w:p>
    <w:p w14:paraId="5B4A524E" w14:textId="07AD9F9D" w:rsidR="007E3759" w:rsidRPr="007E3759" w:rsidRDefault="007E3759" w:rsidP="007E3759">
      <w:pPr>
        <w:pStyle w:val="BodyText"/>
      </w:pPr>
      <w:r w:rsidRPr="007E3759">
        <w:t>ICIA</w:t>
      </w:r>
      <w:r w:rsidRPr="007E3759">
        <w:tab/>
      </w:r>
      <w:r>
        <w:tab/>
      </w:r>
      <w:r w:rsidRPr="007E3759">
        <w:t xml:space="preserve">Island Communities Impact Assessment </w:t>
      </w:r>
    </w:p>
    <w:p w14:paraId="4D445D51" w14:textId="2AD10887" w:rsidR="007E3759" w:rsidRPr="007E3759" w:rsidRDefault="007E3759" w:rsidP="007E3759">
      <w:pPr>
        <w:pStyle w:val="BodyText"/>
      </w:pPr>
      <w:r w:rsidRPr="007E3759">
        <w:t>ICP</w:t>
      </w:r>
      <w:r w:rsidRPr="007E3759">
        <w:tab/>
      </w:r>
      <w:r>
        <w:tab/>
      </w:r>
      <w:r w:rsidRPr="007E3759">
        <w:t>Islands Connectivity Plan</w:t>
      </w:r>
    </w:p>
    <w:p w14:paraId="52BCC43E" w14:textId="3040E941" w:rsidR="007E3759" w:rsidRPr="007E3759" w:rsidRDefault="007E3759" w:rsidP="007E3759">
      <w:pPr>
        <w:pStyle w:val="BodyText"/>
      </w:pPr>
      <w:r w:rsidRPr="007E3759">
        <w:t>IDM</w:t>
      </w:r>
      <w:r w:rsidRPr="007E3759">
        <w:tab/>
      </w:r>
      <w:r>
        <w:tab/>
      </w:r>
      <w:r w:rsidRPr="007E3759">
        <w:t xml:space="preserve">Investment Decision Making </w:t>
      </w:r>
    </w:p>
    <w:p w14:paraId="2EC153DE" w14:textId="45411DA8" w:rsidR="007E3759" w:rsidRPr="007E3759" w:rsidRDefault="007E3759" w:rsidP="007E3759">
      <w:pPr>
        <w:pStyle w:val="BodyText"/>
      </w:pPr>
      <w:r w:rsidRPr="007E3759">
        <w:t>IIP</w:t>
      </w:r>
      <w:r>
        <w:tab/>
      </w:r>
      <w:r w:rsidRPr="007E3759">
        <w:tab/>
        <w:t>Infrastructure Investment Plan</w:t>
      </w:r>
    </w:p>
    <w:p w14:paraId="49BB4137" w14:textId="6E1B94F7" w:rsidR="007E3759" w:rsidRPr="007E3759" w:rsidRDefault="007E3759" w:rsidP="007E3759">
      <w:pPr>
        <w:pStyle w:val="BodyText"/>
      </w:pPr>
      <w:r w:rsidRPr="007E3759">
        <w:t>IMS</w:t>
      </w:r>
      <w:r w:rsidRPr="007E3759">
        <w:tab/>
      </w:r>
      <w:r>
        <w:tab/>
      </w:r>
      <w:r w:rsidRPr="007E3759">
        <w:t>Incident Management System</w:t>
      </w:r>
    </w:p>
    <w:p w14:paraId="2FC1C574" w14:textId="332EA6E4" w:rsidR="007E3759" w:rsidRPr="007E3759" w:rsidRDefault="007E3759" w:rsidP="007E3759">
      <w:pPr>
        <w:pStyle w:val="BodyText"/>
      </w:pPr>
      <w:r w:rsidRPr="007E3759">
        <w:t>ISM</w:t>
      </w:r>
      <w:r w:rsidRPr="007E3759">
        <w:tab/>
      </w:r>
      <w:r>
        <w:tab/>
      </w:r>
      <w:r w:rsidRPr="007E3759">
        <w:t>Individual, Social, Material</w:t>
      </w:r>
    </w:p>
    <w:p w14:paraId="37C0D140" w14:textId="1FC546AE" w:rsidR="007E3759" w:rsidRPr="007E3759" w:rsidRDefault="007E3759" w:rsidP="007E3759">
      <w:pPr>
        <w:pStyle w:val="BodyText"/>
      </w:pPr>
      <w:r w:rsidRPr="007E3759">
        <w:t>ITS</w:t>
      </w:r>
      <w:r w:rsidRPr="007E3759">
        <w:tab/>
      </w:r>
      <w:r>
        <w:tab/>
      </w:r>
      <w:r w:rsidRPr="007E3759">
        <w:t>Intelligent Transport System</w:t>
      </w:r>
    </w:p>
    <w:p w14:paraId="7B28637B" w14:textId="6E35507C" w:rsidR="007E3759" w:rsidRPr="007E3759" w:rsidRDefault="007E3759" w:rsidP="007E3759">
      <w:pPr>
        <w:pStyle w:val="BodyText"/>
      </w:pPr>
      <w:r w:rsidRPr="007E3759">
        <w:t>KSI</w:t>
      </w:r>
      <w:r>
        <w:tab/>
      </w:r>
      <w:r w:rsidRPr="007E3759">
        <w:tab/>
        <w:t xml:space="preserve">Killed and Seriously Injured </w:t>
      </w:r>
    </w:p>
    <w:p w14:paraId="577D60B7" w14:textId="0E5D85A2" w:rsidR="007E3759" w:rsidRPr="007E3759" w:rsidRDefault="007E3759" w:rsidP="007E3759">
      <w:pPr>
        <w:pStyle w:val="BodyText"/>
      </w:pPr>
      <w:r w:rsidRPr="007E3759">
        <w:t>LGV</w:t>
      </w:r>
      <w:r w:rsidRPr="007E3759">
        <w:tab/>
      </w:r>
      <w:r>
        <w:tab/>
      </w:r>
      <w:r w:rsidRPr="007E3759">
        <w:t>Light Goods Vehicle</w:t>
      </w:r>
    </w:p>
    <w:p w14:paraId="7FF43035" w14:textId="34DC5093" w:rsidR="007E3759" w:rsidRPr="007E3759" w:rsidRDefault="007E3759" w:rsidP="007E3759">
      <w:pPr>
        <w:pStyle w:val="BodyText"/>
      </w:pPr>
      <w:proofErr w:type="spellStart"/>
      <w:r w:rsidRPr="007E3759">
        <w:t>MaaS</w:t>
      </w:r>
      <w:proofErr w:type="spellEnd"/>
      <w:r w:rsidRPr="007E3759">
        <w:tab/>
      </w:r>
      <w:r>
        <w:tab/>
      </w:r>
      <w:r w:rsidRPr="007E3759">
        <w:t>Mobility as a Service</w:t>
      </w:r>
    </w:p>
    <w:p w14:paraId="55EA5864" w14:textId="030BDE24" w:rsidR="007E3759" w:rsidRPr="007E3759" w:rsidRDefault="007E3759" w:rsidP="007E3759">
      <w:pPr>
        <w:pStyle w:val="BodyText"/>
      </w:pPr>
      <w:r w:rsidRPr="007E3759">
        <w:t>MSP</w:t>
      </w:r>
      <w:r w:rsidRPr="007E3759">
        <w:tab/>
      </w:r>
      <w:r>
        <w:tab/>
      </w:r>
      <w:r w:rsidRPr="007E3759">
        <w:t xml:space="preserve">Member of the Scottish Parliament </w:t>
      </w:r>
    </w:p>
    <w:p w14:paraId="1A4DC6FA" w14:textId="77777777" w:rsidR="007E3759" w:rsidRPr="007E3759" w:rsidRDefault="007E3759" w:rsidP="007E3759">
      <w:pPr>
        <w:pStyle w:val="BodyText"/>
      </w:pPr>
      <w:proofErr w:type="spellStart"/>
      <w:r w:rsidRPr="007E3759">
        <w:t>NaPTAT</w:t>
      </w:r>
      <w:proofErr w:type="spellEnd"/>
      <w:r w:rsidRPr="007E3759">
        <w:tab/>
        <w:t>National Public Transport Accessibility Tool</w:t>
      </w:r>
    </w:p>
    <w:p w14:paraId="34D725B6" w14:textId="7955AA2C" w:rsidR="007E3759" w:rsidRPr="007E3759" w:rsidRDefault="007E3759" w:rsidP="007E3759">
      <w:pPr>
        <w:pStyle w:val="BodyText"/>
      </w:pPr>
      <w:r w:rsidRPr="007E3759">
        <w:t>NIFS</w:t>
      </w:r>
      <w:r w:rsidRPr="007E3759">
        <w:tab/>
      </w:r>
      <w:r>
        <w:tab/>
      </w:r>
      <w:r w:rsidRPr="007E3759">
        <w:t>Northern Isles Ferry Service</w:t>
      </w:r>
    </w:p>
    <w:p w14:paraId="3CCE7622" w14:textId="666E426F" w:rsidR="007E3759" w:rsidRPr="007E3759" w:rsidRDefault="007E3759" w:rsidP="007E3759">
      <w:pPr>
        <w:pStyle w:val="BodyText"/>
      </w:pPr>
      <w:r w:rsidRPr="007E3759">
        <w:t>NPF4</w:t>
      </w:r>
      <w:r w:rsidRPr="007E3759">
        <w:tab/>
      </w:r>
      <w:r>
        <w:tab/>
      </w:r>
      <w:r w:rsidRPr="007E3759">
        <w:t>National Planning Framework 4</w:t>
      </w:r>
    </w:p>
    <w:p w14:paraId="5796C6F9" w14:textId="2EF7952F" w:rsidR="007E3759" w:rsidRPr="007E3759" w:rsidRDefault="007E3759" w:rsidP="007E3759">
      <w:pPr>
        <w:pStyle w:val="BodyText"/>
      </w:pPr>
      <w:r w:rsidRPr="007E3759">
        <w:t>NSET</w:t>
      </w:r>
      <w:r w:rsidRPr="007E3759">
        <w:tab/>
      </w:r>
      <w:r>
        <w:tab/>
      </w:r>
      <w:r w:rsidRPr="007E3759">
        <w:t>National Strategy for Economic Transformation</w:t>
      </w:r>
    </w:p>
    <w:p w14:paraId="4E5C2961" w14:textId="6B230563" w:rsidR="007E3759" w:rsidRPr="007E3759" w:rsidRDefault="007E3759" w:rsidP="007E3759">
      <w:pPr>
        <w:pStyle w:val="BodyText"/>
      </w:pPr>
      <w:r w:rsidRPr="007E3759">
        <w:t>NTS2</w:t>
      </w:r>
      <w:r w:rsidRPr="007E3759">
        <w:tab/>
      </w:r>
      <w:r>
        <w:tab/>
      </w:r>
      <w:r w:rsidRPr="007E3759">
        <w:t>National Transport Strategy 2</w:t>
      </w:r>
    </w:p>
    <w:p w14:paraId="40AC4FCC" w14:textId="39929496" w:rsidR="007E3759" w:rsidRPr="007E3759" w:rsidRDefault="007E3759" w:rsidP="007E3759">
      <w:pPr>
        <w:pStyle w:val="BodyText"/>
      </w:pPr>
      <w:r w:rsidRPr="007E3759">
        <w:t>OBR</w:t>
      </w:r>
      <w:r w:rsidRPr="007E3759">
        <w:tab/>
      </w:r>
      <w:r>
        <w:tab/>
      </w:r>
      <w:r w:rsidRPr="007E3759">
        <w:t>Office for Budget Responsibility</w:t>
      </w:r>
    </w:p>
    <w:p w14:paraId="2D7E0B9E" w14:textId="475B0E71" w:rsidR="007E3759" w:rsidRPr="007E3759" w:rsidRDefault="007E3759" w:rsidP="007E3759">
      <w:pPr>
        <w:pStyle w:val="BodyText"/>
      </w:pPr>
      <w:r w:rsidRPr="007E3759">
        <w:t>ORR</w:t>
      </w:r>
      <w:r w:rsidRPr="007E3759">
        <w:tab/>
      </w:r>
      <w:r>
        <w:tab/>
      </w:r>
      <w:r w:rsidRPr="007E3759">
        <w:t>Office of Rail and Road</w:t>
      </w:r>
    </w:p>
    <w:p w14:paraId="57908350" w14:textId="0B45D7A0" w:rsidR="007E3759" w:rsidRPr="007E3759" w:rsidRDefault="007E3759" w:rsidP="007E3759">
      <w:pPr>
        <w:pStyle w:val="BodyText"/>
      </w:pPr>
      <w:r w:rsidRPr="007E3759">
        <w:t>PIA</w:t>
      </w:r>
      <w:r w:rsidRPr="007E3759">
        <w:tab/>
      </w:r>
      <w:r>
        <w:tab/>
      </w:r>
      <w:r w:rsidRPr="007E3759">
        <w:t>Personal Injury Accident</w:t>
      </w:r>
    </w:p>
    <w:p w14:paraId="5E0A88E0" w14:textId="116DCF0C" w:rsidR="007E3759" w:rsidRPr="007E3759" w:rsidRDefault="007E3759" w:rsidP="007E3759">
      <w:pPr>
        <w:pStyle w:val="BodyText"/>
      </w:pPr>
      <w:r w:rsidRPr="007E3759">
        <w:t>RET</w:t>
      </w:r>
      <w:r w:rsidRPr="007E3759">
        <w:tab/>
      </w:r>
      <w:r>
        <w:tab/>
      </w:r>
      <w:r w:rsidRPr="007E3759">
        <w:t xml:space="preserve">Road Equivalent Tariff </w:t>
      </w:r>
    </w:p>
    <w:p w14:paraId="5531DA08" w14:textId="3CACC27F" w:rsidR="007E3759" w:rsidRPr="007E3759" w:rsidRDefault="007E3759" w:rsidP="007E3759">
      <w:pPr>
        <w:pStyle w:val="BodyText"/>
      </w:pPr>
      <w:r w:rsidRPr="007E3759">
        <w:t>RTP</w:t>
      </w:r>
      <w:r w:rsidRPr="007E3759">
        <w:tab/>
      </w:r>
      <w:r>
        <w:tab/>
      </w:r>
      <w:r w:rsidRPr="007E3759">
        <w:t>Regional Transport Partnership</w:t>
      </w:r>
    </w:p>
    <w:p w14:paraId="74864AE1" w14:textId="77777777" w:rsidR="007E3759" w:rsidRPr="007E3759" w:rsidRDefault="007E3759" w:rsidP="007E3759">
      <w:pPr>
        <w:pStyle w:val="BodyText"/>
      </w:pPr>
      <w:r w:rsidRPr="007E3759">
        <w:t>RTWG</w:t>
      </w:r>
      <w:r w:rsidRPr="007E3759">
        <w:tab/>
        <w:t>Regional Transport Working Group</w:t>
      </w:r>
    </w:p>
    <w:p w14:paraId="5EF3A21B" w14:textId="4AAE5262" w:rsidR="007E3759" w:rsidRPr="007E3759" w:rsidRDefault="007E3759" w:rsidP="007E3759">
      <w:pPr>
        <w:pStyle w:val="BodyText"/>
      </w:pPr>
      <w:r w:rsidRPr="007E3759">
        <w:t>SAC</w:t>
      </w:r>
      <w:r w:rsidRPr="007E3759">
        <w:tab/>
      </w:r>
      <w:r>
        <w:tab/>
      </w:r>
      <w:r w:rsidRPr="007E3759">
        <w:t>Special Area of Conservation</w:t>
      </w:r>
    </w:p>
    <w:p w14:paraId="439ED620" w14:textId="77777777" w:rsidR="007E3759" w:rsidRPr="007E3759" w:rsidRDefault="007E3759" w:rsidP="007E3759">
      <w:pPr>
        <w:pStyle w:val="BodyText"/>
      </w:pPr>
      <w:r w:rsidRPr="007E3759">
        <w:t>SCOTS</w:t>
      </w:r>
      <w:r w:rsidRPr="007E3759">
        <w:tab/>
        <w:t>Society of Chief Officers of Transportation in Scotland</w:t>
      </w:r>
    </w:p>
    <w:p w14:paraId="3F896E2E" w14:textId="1C9B680C" w:rsidR="007E3759" w:rsidRPr="007E3759" w:rsidRDefault="007E3759" w:rsidP="007E3759">
      <w:pPr>
        <w:pStyle w:val="BodyText"/>
      </w:pPr>
      <w:r w:rsidRPr="007E3759">
        <w:t>SCSP</w:t>
      </w:r>
      <w:r>
        <w:tab/>
      </w:r>
      <w:r w:rsidRPr="007E3759">
        <w:tab/>
        <w:t>Smarter Choices, Smarter Places</w:t>
      </w:r>
    </w:p>
    <w:p w14:paraId="1654AB69" w14:textId="10F36429" w:rsidR="007E3759" w:rsidRPr="007E3759" w:rsidRDefault="007E3759" w:rsidP="007E3759">
      <w:pPr>
        <w:pStyle w:val="BodyText"/>
      </w:pPr>
      <w:r w:rsidRPr="007E3759">
        <w:t>SEA</w:t>
      </w:r>
      <w:r w:rsidRPr="007E3759">
        <w:tab/>
      </w:r>
      <w:r>
        <w:tab/>
      </w:r>
      <w:r w:rsidRPr="007E3759">
        <w:t>Strategic Environmental Assessment</w:t>
      </w:r>
    </w:p>
    <w:p w14:paraId="4940A6AC" w14:textId="77777777" w:rsidR="007E3759" w:rsidRPr="007E3759" w:rsidRDefault="007E3759" w:rsidP="007E3759">
      <w:pPr>
        <w:pStyle w:val="BodyText"/>
      </w:pPr>
      <w:r w:rsidRPr="007E3759">
        <w:t>SOLACE</w:t>
      </w:r>
      <w:r w:rsidRPr="007E3759">
        <w:tab/>
        <w:t xml:space="preserve">Society of Local Authority Chief Executives and Senior Managers </w:t>
      </w:r>
    </w:p>
    <w:p w14:paraId="5046F1EB" w14:textId="64563D87" w:rsidR="007E3759" w:rsidRPr="007E3759" w:rsidRDefault="007E3759" w:rsidP="007E3759">
      <w:pPr>
        <w:pStyle w:val="BodyText"/>
      </w:pPr>
      <w:r w:rsidRPr="007E3759">
        <w:t>SPA</w:t>
      </w:r>
      <w:r w:rsidRPr="007E3759">
        <w:tab/>
      </w:r>
      <w:r>
        <w:tab/>
      </w:r>
      <w:r w:rsidRPr="007E3759">
        <w:t>Special Protection Area</w:t>
      </w:r>
    </w:p>
    <w:p w14:paraId="4CBBB19E" w14:textId="5B834C91" w:rsidR="007E3759" w:rsidRPr="007E3759" w:rsidRDefault="007E3759" w:rsidP="007E3759">
      <w:pPr>
        <w:pStyle w:val="BodyText"/>
      </w:pPr>
      <w:r w:rsidRPr="007E3759">
        <w:lastRenderedPageBreak/>
        <w:t>STAG</w:t>
      </w:r>
      <w:r w:rsidRPr="007E3759">
        <w:tab/>
      </w:r>
      <w:r>
        <w:tab/>
      </w:r>
      <w:r w:rsidRPr="007E3759">
        <w:t>Scottish Transport Appraisal Guidance</w:t>
      </w:r>
    </w:p>
    <w:p w14:paraId="5799CDCB" w14:textId="77777777" w:rsidR="007E3759" w:rsidRPr="007E3759" w:rsidRDefault="007E3759" w:rsidP="007E3759">
      <w:pPr>
        <w:pStyle w:val="BodyText"/>
      </w:pPr>
      <w:r w:rsidRPr="007E3759">
        <w:t>STPR2</w:t>
      </w:r>
      <w:r w:rsidRPr="007E3759">
        <w:tab/>
        <w:t>Strategic Transport Projects Review 2</w:t>
      </w:r>
    </w:p>
    <w:p w14:paraId="4278C4F4" w14:textId="77777777" w:rsidR="007E3759" w:rsidRPr="007E3759" w:rsidRDefault="007E3759" w:rsidP="007E3759">
      <w:pPr>
        <w:pStyle w:val="BodyText"/>
      </w:pPr>
      <w:proofErr w:type="spellStart"/>
      <w:r w:rsidRPr="007E3759">
        <w:t>TELMoS</w:t>
      </w:r>
      <w:proofErr w:type="spellEnd"/>
      <w:r w:rsidRPr="007E3759">
        <w:tab/>
        <w:t>Transport and Economic Land-use Model of Scotland</w:t>
      </w:r>
    </w:p>
    <w:p w14:paraId="2E28A72C" w14:textId="571D3F6D" w:rsidR="007E3759" w:rsidRPr="007E3759" w:rsidRDefault="007E3759" w:rsidP="007E3759">
      <w:pPr>
        <w:pStyle w:val="BodyText"/>
      </w:pPr>
      <w:proofErr w:type="spellStart"/>
      <w:r w:rsidRPr="007E3759">
        <w:t>TMfS</w:t>
      </w:r>
      <w:proofErr w:type="spellEnd"/>
      <w:r w:rsidRPr="007E3759">
        <w:tab/>
      </w:r>
      <w:r>
        <w:tab/>
      </w:r>
      <w:r w:rsidRPr="007E3759">
        <w:t>Transport Model for Scotland</w:t>
      </w:r>
    </w:p>
    <w:p w14:paraId="68A2175A" w14:textId="18170FE4" w:rsidR="007E3759" w:rsidRPr="007E3759" w:rsidRDefault="007E3759" w:rsidP="007E3759">
      <w:pPr>
        <w:pStyle w:val="BodyText"/>
      </w:pPr>
      <w:r w:rsidRPr="007E3759">
        <w:t>TPO</w:t>
      </w:r>
      <w:r w:rsidRPr="007E3759">
        <w:tab/>
      </w:r>
      <w:r>
        <w:tab/>
      </w:r>
      <w:r w:rsidRPr="007E3759">
        <w:t>Transport Planning Objective</w:t>
      </w:r>
    </w:p>
    <w:p w14:paraId="2D66C5C4" w14:textId="77777777" w:rsidR="007E3759" w:rsidRPr="007E3759" w:rsidRDefault="007E3759" w:rsidP="007E3759">
      <w:pPr>
        <w:pStyle w:val="BodyText"/>
      </w:pPr>
      <w:r w:rsidRPr="007E3759">
        <w:t>TSNCC</w:t>
      </w:r>
      <w:r w:rsidRPr="007E3759">
        <w:tab/>
        <w:t>Traffic Scotland National Control Centre</w:t>
      </w:r>
    </w:p>
    <w:p w14:paraId="5ABDC386" w14:textId="47C968C2" w:rsidR="007E3759" w:rsidRPr="007E3759" w:rsidRDefault="007E3759" w:rsidP="007E3759">
      <w:pPr>
        <w:pStyle w:val="BodyText"/>
      </w:pPr>
      <w:r w:rsidRPr="007E3759">
        <w:t>TSS</w:t>
      </w:r>
      <w:r w:rsidRPr="007E3759">
        <w:tab/>
      </w:r>
      <w:r>
        <w:tab/>
      </w:r>
      <w:r w:rsidRPr="007E3759">
        <w:t>Traffic Scotland System</w:t>
      </w:r>
    </w:p>
    <w:p w14:paraId="3D02C4EB" w14:textId="77777777" w:rsidR="007E3759" w:rsidRPr="007E3759" w:rsidRDefault="007E3759" w:rsidP="007E3759">
      <w:pPr>
        <w:pStyle w:val="BodyText"/>
      </w:pPr>
      <w:r w:rsidRPr="007E3759">
        <w:t>WCML</w:t>
      </w:r>
      <w:r w:rsidRPr="007E3759">
        <w:tab/>
        <w:t>West Coast Main Line</w:t>
      </w:r>
    </w:p>
    <w:p w14:paraId="29CCE75B" w14:textId="2E495206" w:rsidR="00693397" w:rsidRPr="007E3759" w:rsidRDefault="007E3759" w:rsidP="007E3759">
      <w:pPr>
        <w:pStyle w:val="BodyText"/>
      </w:pPr>
      <w:r w:rsidRPr="007E3759">
        <w:t>WS2+1</w:t>
      </w:r>
      <w:r w:rsidRPr="007E3759">
        <w:tab/>
        <w:t>Wide single 2+1 carriageway cross-section, 2 lanes one direction, 1 lane opposing direction</w:t>
      </w:r>
    </w:p>
    <w:p w14:paraId="2E6125E2" w14:textId="77777777" w:rsidR="00693397" w:rsidRDefault="00693397" w:rsidP="00693397">
      <w:pPr>
        <w:rPr>
          <w:sz w:val="24"/>
          <w:szCs w:val="24"/>
          <w:highlight w:val="yellow"/>
        </w:rPr>
      </w:pPr>
    </w:p>
    <w:p w14:paraId="368C7A02" w14:textId="77777777" w:rsidR="00693397" w:rsidRPr="00953899" w:rsidRDefault="00693397" w:rsidP="00693397">
      <w:pPr>
        <w:pStyle w:val="BodyText"/>
      </w:pPr>
    </w:p>
    <w:sectPr w:rsidR="00693397" w:rsidRPr="00953899" w:rsidSect="00F53FEC">
      <w:type w:val="continuous"/>
      <w:pgSz w:w="11906" w:h="16838" w:code="9"/>
      <w:pgMar w:top="1701" w:right="1138" w:bottom="1138" w:left="1138"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B8FB6" w14:textId="77777777" w:rsidR="00AC31BA" w:rsidRDefault="00AC31BA" w:rsidP="006F1601">
      <w:pPr>
        <w:spacing w:after="0" w:line="240" w:lineRule="auto"/>
      </w:pPr>
      <w:r>
        <w:separator/>
      </w:r>
    </w:p>
  </w:endnote>
  <w:endnote w:type="continuationSeparator" w:id="0">
    <w:p w14:paraId="4FF58ACD" w14:textId="77777777" w:rsidR="00AC31BA" w:rsidRDefault="00AC31BA" w:rsidP="006F1601">
      <w:pPr>
        <w:spacing w:after="0" w:line="240" w:lineRule="auto"/>
      </w:pPr>
      <w:r>
        <w:continuationSeparator/>
      </w:r>
    </w:p>
  </w:endnote>
  <w:endnote w:type="continuationNotice" w:id="1">
    <w:p w14:paraId="79C50A62" w14:textId="77777777" w:rsidR="00AC31BA" w:rsidRDefault="00AC31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1277"/>
      <w:gridCol w:w="4241"/>
    </w:tblGrid>
    <w:tr w:rsidR="0029219C" w14:paraId="60FE192E" w14:textId="77777777" w:rsidTr="0056224D">
      <w:tc>
        <w:tcPr>
          <w:tcW w:w="2135" w:type="pct"/>
        </w:tcPr>
        <w:p w14:paraId="17E1367E" w14:textId="77777777" w:rsidR="0029219C" w:rsidRPr="00231030" w:rsidRDefault="0029219C" w:rsidP="0029219C">
          <w:pPr>
            <w:pStyle w:val="Footer"/>
          </w:pPr>
          <w:r w:rsidRPr="00231030">
            <w:t>Strategic Transport Projects Review (STPR2) Consultancy Support Services Contract</w:t>
          </w:r>
        </w:p>
      </w:tc>
      <w:tc>
        <w:tcPr>
          <w:tcW w:w="663" w:type="pct"/>
          <w:vAlign w:val="center"/>
        </w:tcPr>
        <w:p w14:paraId="35F44874" w14:textId="77777777" w:rsidR="0029219C" w:rsidRPr="00231030" w:rsidRDefault="0029219C" w:rsidP="0029219C">
          <w:pPr>
            <w:pStyle w:val="Footer"/>
            <w:jc w:val="center"/>
          </w:pPr>
          <w:r>
            <w:t xml:space="preserve">Page </w:t>
          </w:r>
          <w:r w:rsidRPr="00231030">
            <w:fldChar w:fldCharType="begin"/>
          </w:r>
          <w:r w:rsidRPr="00231030">
            <w:instrText xml:space="preserve"> PAGE   \* MERGEFORMAT </w:instrText>
          </w:r>
          <w:r w:rsidRPr="00231030">
            <w:fldChar w:fldCharType="separate"/>
          </w:r>
          <w:r w:rsidRPr="00231030">
            <w:rPr>
              <w:noProof/>
            </w:rPr>
            <w:t>15</w:t>
          </w:r>
          <w:r w:rsidRPr="00231030">
            <w:rPr>
              <w:noProof/>
            </w:rPr>
            <w:fldChar w:fldCharType="end"/>
          </w:r>
        </w:p>
      </w:tc>
      <w:tc>
        <w:tcPr>
          <w:tcW w:w="2202" w:type="pct"/>
          <w:vAlign w:val="center"/>
        </w:tcPr>
        <w:p w14:paraId="778C6B52" w14:textId="77777777" w:rsidR="0029219C" w:rsidRDefault="0029219C" w:rsidP="0029219C">
          <w:pPr>
            <w:pStyle w:val="Footer"/>
            <w:jc w:val="right"/>
          </w:pPr>
          <w:r>
            <w:rPr>
              <w:noProof/>
            </w:rPr>
            <w:drawing>
              <wp:inline distT="0" distB="0" distL="0" distR="0" wp14:anchorId="0F18E53D" wp14:editId="491EFB60">
                <wp:extent cx="1620003" cy="180000"/>
                <wp:effectExtent l="0" t="0" r="0" b="0"/>
                <wp:docPr id="14" name="Picture 14" descr="Jacobs 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Jacobs AECOM logo"/>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7721F24E" w14:textId="77777777" w:rsidR="00F80125" w:rsidRPr="00307E47" w:rsidRDefault="00F80125"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ACCAE" w14:textId="77777777" w:rsidR="00AC31BA" w:rsidRDefault="00AC31BA" w:rsidP="006F1601">
      <w:pPr>
        <w:spacing w:after="0" w:line="240" w:lineRule="auto"/>
      </w:pPr>
      <w:r>
        <w:separator/>
      </w:r>
    </w:p>
  </w:footnote>
  <w:footnote w:type="continuationSeparator" w:id="0">
    <w:p w14:paraId="7472C931" w14:textId="77777777" w:rsidR="00AC31BA" w:rsidRDefault="00AC31BA" w:rsidP="006F1601">
      <w:pPr>
        <w:spacing w:after="0" w:line="240" w:lineRule="auto"/>
      </w:pPr>
      <w:r>
        <w:continuationSeparator/>
      </w:r>
    </w:p>
  </w:footnote>
  <w:footnote w:type="continuationNotice" w:id="1">
    <w:p w14:paraId="15AA734B" w14:textId="77777777" w:rsidR="00AC31BA" w:rsidRDefault="00AC31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188B" w14:textId="77777777" w:rsidR="00F80125" w:rsidRDefault="00F80125" w:rsidP="00307E47">
    <w:pPr>
      <w:pStyle w:val="Header"/>
    </w:pPr>
    <w:r>
      <w:rPr>
        <w:noProof/>
      </w:rPr>
      <w:drawing>
        <wp:anchor distT="0" distB="0" distL="114300" distR="114300" simplePos="0" relativeHeight="251658240" behindDoc="1" locked="0" layoutInCell="1" allowOverlap="1" wp14:anchorId="72E47DA2" wp14:editId="201C89D8">
          <wp:simplePos x="0" y="0"/>
          <wp:positionH relativeFrom="page">
            <wp:align>left</wp:align>
          </wp:positionH>
          <wp:positionV relativeFrom="paragraph">
            <wp:posOffset>-309448</wp:posOffset>
          </wp:positionV>
          <wp:extent cx="7559998" cy="10691763"/>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4E1341" w14:paraId="270F1875" w14:textId="77777777" w:rsidTr="05D29510">
      <w:tc>
        <w:tcPr>
          <w:tcW w:w="6418" w:type="dxa"/>
          <w:vAlign w:val="center"/>
        </w:tcPr>
        <w:p w14:paraId="4FA190CC" w14:textId="77777777" w:rsidR="004E1341" w:rsidRPr="00AC7FD5" w:rsidRDefault="004E1341" w:rsidP="00233E77">
          <w:pPr>
            <w:pStyle w:val="Header"/>
            <w:ind w:left="-103"/>
          </w:pPr>
          <w:r>
            <w:rPr>
              <w:bCs/>
            </w:rPr>
            <w:t xml:space="preserve">Appendix I Recommendations Appraisal Summary Table Explanatory Note </w:t>
          </w:r>
        </w:p>
      </w:tc>
      <w:tc>
        <w:tcPr>
          <w:tcW w:w="3210" w:type="dxa"/>
        </w:tcPr>
        <w:p w14:paraId="043CAEEB" w14:textId="77777777" w:rsidR="004E1341" w:rsidRDefault="004E1341" w:rsidP="00233E77">
          <w:pPr>
            <w:pStyle w:val="Header"/>
            <w:jc w:val="right"/>
          </w:pPr>
          <w:r>
            <w:rPr>
              <w:noProof/>
            </w:rPr>
            <w:drawing>
              <wp:inline distT="0" distB="0" distL="0" distR="0" wp14:anchorId="2C0E3880" wp14:editId="389A5121">
                <wp:extent cx="1604762" cy="724141"/>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604762" cy="724141"/>
                        </a:xfrm>
                        <a:prstGeom prst="rect">
                          <a:avLst/>
                        </a:prstGeom>
                      </pic:spPr>
                    </pic:pic>
                  </a:graphicData>
                </a:graphic>
              </wp:inline>
            </w:drawing>
          </w:r>
        </w:p>
      </w:tc>
    </w:tr>
  </w:tbl>
  <w:p w14:paraId="092A04FE" w14:textId="77777777" w:rsidR="004E1341" w:rsidRDefault="004E1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E9A2B4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8C8AF46A"/>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3C7262A8"/>
    <w:lvl w:ilvl="0">
      <w:start w:val="1"/>
      <w:numFmt w:val="decimal"/>
      <w:lvlText w:val="%1."/>
      <w:lvlJc w:val="left"/>
      <w:pPr>
        <w:tabs>
          <w:tab w:val="num" w:pos="360"/>
        </w:tabs>
        <w:ind w:left="360" w:hanging="360"/>
      </w:pPr>
      <w:rPr>
        <w:rFonts w:hint="default"/>
      </w:rPr>
    </w:lvl>
  </w:abstractNum>
  <w:abstractNum w:abstractNumId="3"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8D4C6D"/>
    <w:multiLevelType w:val="hybridMultilevel"/>
    <w:tmpl w:val="6D8C1452"/>
    <w:lvl w:ilvl="0" w:tplc="0809000F">
      <w:start w:val="1"/>
      <w:numFmt w:val="decimal"/>
      <w:lvlText w:val="%1."/>
      <w:lvlJc w:val="left"/>
      <w:pPr>
        <w:ind w:left="644" w:hanging="360"/>
      </w:pPr>
      <w:rPr>
        <w:rFont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 w15:restartNumberingAfterBreak="0">
    <w:nsid w:val="11993DB0"/>
    <w:multiLevelType w:val="multilevel"/>
    <w:tmpl w:val="FE023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756F3F"/>
    <w:multiLevelType w:val="hybridMultilevel"/>
    <w:tmpl w:val="4E545236"/>
    <w:lvl w:ilvl="0" w:tplc="35BE4A2E">
      <w:numFmt w:val="decimal"/>
      <w:pStyle w:val="STPR2NumberList"/>
      <w:lvlText w:val=""/>
      <w:lvlJc w:val="left"/>
    </w:lvl>
    <w:lvl w:ilvl="1" w:tplc="08090019">
      <w:numFmt w:val="decimal"/>
      <w:lvlText w:val=""/>
      <w:lvlJc w:val="left"/>
    </w:lvl>
    <w:lvl w:ilvl="2" w:tplc="0809001B">
      <w:numFmt w:val="decimal"/>
      <w:lvlText w:val=""/>
      <w:lvlJc w:val="left"/>
    </w:lvl>
    <w:lvl w:ilvl="3" w:tplc="0809000F">
      <w:numFmt w:val="decimal"/>
      <w:lvlText w:val="擈Ǻ"/>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7" w15:restartNumberingAfterBreak="0">
    <w:nsid w:val="1CB46067"/>
    <w:multiLevelType w:val="hybridMultilevel"/>
    <w:tmpl w:val="E9B674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B675D2"/>
    <w:multiLevelType w:val="multilevel"/>
    <w:tmpl w:val="0CFC8D3E"/>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9F84824"/>
    <w:multiLevelType w:val="hybridMultilevel"/>
    <w:tmpl w:val="E9B67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443188"/>
    <w:multiLevelType w:val="hybridMultilevel"/>
    <w:tmpl w:val="6B064DEC"/>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59C78F4"/>
    <w:multiLevelType w:val="hybridMultilevel"/>
    <w:tmpl w:val="4CB41D42"/>
    <w:lvl w:ilvl="0" w:tplc="ACBAF7D0">
      <w:numFmt w:val="decimal"/>
      <w:pStyle w:val="Bullet1"/>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 w15:restartNumberingAfterBreak="0">
    <w:nsid w:val="59E32D74"/>
    <w:multiLevelType w:val="hybridMultilevel"/>
    <w:tmpl w:val="31C2432E"/>
    <w:lvl w:ilvl="0" w:tplc="9FE6A924">
      <w:start w:val="1"/>
      <w:numFmt w:val="bullet"/>
      <w:pStyle w:val="STPR2BulletsLevel2"/>
      <w:suff w:val="space"/>
      <w:lvlText w:val=""/>
      <w:lvlJc w:val="left"/>
      <w:pPr>
        <w:ind w:left="0" w:firstLine="0"/>
      </w:pPr>
      <w:rPr>
        <w:rFonts w:ascii="Wingdings" w:hAnsi="Wingdings"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abstractNum w:abstractNumId="14" w15:restartNumberingAfterBreak="0">
    <w:nsid w:val="710C2213"/>
    <w:multiLevelType w:val="hybridMultilevel"/>
    <w:tmpl w:val="5F0CE574"/>
    <w:lvl w:ilvl="0" w:tplc="4E743FB0">
      <w:numFmt w:val="decimal"/>
      <w:pStyle w:val="STPR2Lett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5" w15:restartNumberingAfterBreak="0">
    <w:nsid w:val="72A14F1D"/>
    <w:multiLevelType w:val="hybridMultilevel"/>
    <w:tmpl w:val="3140BA90"/>
    <w:lvl w:ilvl="0" w:tplc="C4A23668">
      <w:numFmt w:val="decimal"/>
      <w:pStyle w:val="STPR2TableBullets"/>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6" w15:restartNumberingAfterBreak="0">
    <w:nsid w:val="74911DD7"/>
    <w:multiLevelType w:val="hybridMultilevel"/>
    <w:tmpl w:val="ECD68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7E322E5"/>
    <w:multiLevelType w:val="hybridMultilevel"/>
    <w:tmpl w:val="A16C4F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10"/>
  </w:num>
  <w:num w:numId="4">
    <w:abstractNumId w:val="11"/>
  </w:num>
  <w:num w:numId="5">
    <w:abstractNumId w:val="10"/>
  </w:num>
  <w:num w:numId="6">
    <w:abstractNumId w:val="12"/>
  </w:num>
  <w:num w:numId="7">
    <w:abstractNumId w:val="13"/>
  </w:num>
  <w:num w:numId="8">
    <w:abstractNumId w:val="1"/>
  </w:num>
  <w:num w:numId="9">
    <w:abstractNumId w:val="0"/>
  </w:num>
  <w:num w:numId="10">
    <w:abstractNumId w:val="8"/>
  </w:num>
  <w:num w:numId="11">
    <w:abstractNumId w:val="14"/>
  </w:num>
  <w:num w:numId="12">
    <w:abstractNumId w:val="6"/>
  </w:num>
  <w:num w:numId="13">
    <w:abstractNumId w:val="15"/>
  </w:num>
  <w:num w:numId="14">
    <w:abstractNumId w:val="3"/>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6"/>
  </w:num>
  <w:num w:numId="28">
    <w:abstractNumId w:val="2"/>
  </w:num>
  <w:num w:numId="29">
    <w:abstractNumId w:val="2"/>
    <w:lvlOverride w:ilvl="0">
      <w:startOverride w:val="1"/>
    </w:lvlOverride>
  </w:num>
  <w:num w:numId="30">
    <w:abstractNumId w:val="2"/>
    <w:lvlOverride w:ilvl="0">
      <w:startOverride w:val="1"/>
    </w:lvlOverride>
  </w:num>
  <w:num w:numId="31">
    <w:abstractNumId w:val="17"/>
  </w:num>
  <w:num w:numId="32">
    <w:abstractNumId w:val="2"/>
    <w:lvlOverride w:ilvl="0">
      <w:startOverride w:val="1"/>
    </w:lvlOverride>
  </w:num>
  <w:num w:numId="33">
    <w:abstractNumId w:val="4"/>
  </w:num>
  <w:num w:numId="34">
    <w:abstractNumId w:val="9"/>
  </w:num>
  <w:num w:numId="3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11A3"/>
    <w:rsid w:val="000019A2"/>
    <w:rsid w:val="00002644"/>
    <w:rsid w:val="00002CD8"/>
    <w:rsid w:val="0000339A"/>
    <w:rsid w:val="000033A2"/>
    <w:rsid w:val="000035FB"/>
    <w:rsid w:val="00003931"/>
    <w:rsid w:val="00003D09"/>
    <w:rsid w:val="00003D84"/>
    <w:rsid w:val="000049AE"/>
    <w:rsid w:val="00004A66"/>
    <w:rsid w:val="00004C57"/>
    <w:rsid w:val="00004C7D"/>
    <w:rsid w:val="00004F58"/>
    <w:rsid w:val="0000523B"/>
    <w:rsid w:val="0000573A"/>
    <w:rsid w:val="0000585A"/>
    <w:rsid w:val="0000595B"/>
    <w:rsid w:val="00005A65"/>
    <w:rsid w:val="00005E48"/>
    <w:rsid w:val="0000607B"/>
    <w:rsid w:val="00006515"/>
    <w:rsid w:val="00006B1F"/>
    <w:rsid w:val="00006D85"/>
    <w:rsid w:val="00007419"/>
    <w:rsid w:val="000079FD"/>
    <w:rsid w:val="00007A34"/>
    <w:rsid w:val="00007CA8"/>
    <w:rsid w:val="00007D54"/>
    <w:rsid w:val="000106EB"/>
    <w:rsid w:val="000111A9"/>
    <w:rsid w:val="00011756"/>
    <w:rsid w:val="000118EC"/>
    <w:rsid w:val="00011971"/>
    <w:rsid w:val="00011F20"/>
    <w:rsid w:val="00012AD5"/>
    <w:rsid w:val="00013471"/>
    <w:rsid w:val="00013A50"/>
    <w:rsid w:val="00013ACD"/>
    <w:rsid w:val="00013C81"/>
    <w:rsid w:val="00013FD0"/>
    <w:rsid w:val="000146C2"/>
    <w:rsid w:val="00014F8F"/>
    <w:rsid w:val="0001505E"/>
    <w:rsid w:val="0001519D"/>
    <w:rsid w:val="00015343"/>
    <w:rsid w:val="000156E7"/>
    <w:rsid w:val="0001660D"/>
    <w:rsid w:val="00016E78"/>
    <w:rsid w:val="00020523"/>
    <w:rsid w:val="00020BDA"/>
    <w:rsid w:val="000210C8"/>
    <w:rsid w:val="00021A4F"/>
    <w:rsid w:val="00021C22"/>
    <w:rsid w:val="00021EDA"/>
    <w:rsid w:val="0002225B"/>
    <w:rsid w:val="000223CB"/>
    <w:rsid w:val="00022771"/>
    <w:rsid w:val="00022E90"/>
    <w:rsid w:val="00022EA5"/>
    <w:rsid w:val="000236EB"/>
    <w:rsid w:val="00023D83"/>
    <w:rsid w:val="00023E2C"/>
    <w:rsid w:val="00024BBC"/>
    <w:rsid w:val="000255ED"/>
    <w:rsid w:val="0002569A"/>
    <w:rsid w:val="0002581B"/>
    <w:rsid w:val="00025B92"/>
    <w:rsid w:val="00025EB8"/>
    <w:rsid w:val="00026639"/>
    <w:rsid w:val="00026936"/>
    <w:rsid w:val="000269FA"/>
    <w:rsid w:val="00026BBF"/>
    <w:rsid w:val="0003025A"/>
    <w:rsid w:val="00031593"/>
    <w:rsid w:val="0003163B"/>
    <w:rsid w:val="00031756"/>
    <w:rsid w:val="000324EF"/>
    <w:rsid w:val="00032662"/>
    <w:rsid w:val="0003289F"/>
    <w:rsid w:val="0003345A"/>
    <w:rsid w:val="0003385D"/>
    <w:rsid w:val="00033C2F"/>
    <w:rsid w:val="00033EE4"/>
    <w:rsid w:val="00033F72"/>
    <w:rsid w:val="000342EF"/>
    <w:rsid w:val="0003471A"/>
    <w:rsid w:val="0003511A"/>
    <w:rsid w:val="000354C8"/>
    <w:rsid w:val="000358D0"/>
    <w:rsid w:val="00035E4D"/>
    <w:rsid w:val="00036024"/>
    <w:rsid w:val="0003625C"/>
    <w:rsid w:val="00036463"/>
    <w:rsid w:val="00036555"/>
    <w:rsid w:val="00036B6A"/>
    <w:rsid w:val="00036E70"/>
    <w:rsid w:val="00036F15"/>
    <w:rsid w:val="00037053"/>
    <w:rsid w:val="000377C9"/>
    <w:rsid w:val="00037863"/>
    <w:rsid w:val="0004009D"/>
    <w:rsid w:val="00040C1F"/>
    <w:rsid w:val="00040DBA"/>
    <w:rsid w:val="00040F39"/>
    <w:rsid w:val="00041BA0"/>
    <w:rsid w:val="00041C9D"/>
    <w:rsid w:val="00042E52"/>
    <w:rsid w:val="00042FE8"/>
    <w:rsid w:val="00043803"/>
    <w:rsid w:val="00043973"/>
    <w:rsid w:val="00043E12"/>
    <w:rsid w:val="000441A8"/>
    <w:rsid w:val="000454CC"/>
    <w:rsid w:val="00045A1F"/>
    <w:rsid w:val="00046390"/>
    <w:rsid w:val="00046394"/>
    <w:rsid w:val="00046B9A"/>
    <w:rsid w:val="00046DC5"/>
    <w:rsid w:val="000474BB"/>
    <w:rsid w:val="00047ADA"/>
    <w:rsid w:val="00047B5B"/>
    <w:rsid w:val="000502EB"/>
    <w:rsid w:val="00050713"/>
    <w:rsid w:val="000512F9"/>
    <w:rsid w:val="000522AD"/>
    <w:rsid w:val="000544B6"/>
    <w:rsid w:val="00054660"/>
    <w:rsid w:val="00054B24"/>
    <w:rsid w:val="000559C6"/>
    <w:rsid w:val="00056197"/>
    <w:rsid w:val="0005628D"/>
    <w:rsid w:val="0005678A"/>
    <w:rsid w:val="00056A39"/>
    <w:rsid w:val="00056BB7"/>
    <w:rsid w:val="000576AA"/>
    <w:rsid w:val="0005E7E3"/>
    <w:rsid w:val="00060315"/>
    <w:rsid w:val="000614CC"/>
    <w:rsid w:val="0006175E"/>
    <w:rsid w:val="00061922"/>
    <w:rsid w:val="00061A86"/>
    <w:rsid w:val="00061FAC"/>
    <w:rsid w:val="0006249E"/>
    <w:rsid w:val="00062708"/>
    <w:rsid w:val="00062A20"/>
    <w:rsid w:val="00062E82"/>
    <w:rsid w:val="00063327"/>
    <w:rsid w:val="000634D1"/>
    <w:rsid w:val="00063A60"/>
    <w:rsid w:val="00063CB5"/>
    <w:rsid w:val="00064843"/>
    <w:rsid w:val="0006521B"/>
    <w:rsid w:val="00065719"/>
    <w:rsid w:val="00065D74"/>
    <w:rsid w:val="00065D77"/>
    <w:rsid w:val="0006621B"/>
    <w:rsid w:val="00066391"/>
    <w:rsid w:val="000666C6"/>
    <w:rsid w:val="00066C5F"/>
    <w:rsid w:val="000670D4"/>
    <w:rsid w:val="00067357"/>
    <w:rsid w:val="00067B59"/>
    <w:rsid w:val="00067CB8"/>
    <w:rsid w:val="000701C6"/>
    <w:rsid w:val="000703D1"/>
    <w:rsid w:val="00070A1A"/>
    <w:rsid w:val="00070A2D"/>
    <w:rsid w:val="00071026"/>
    <w:rsid w:val="0007187A"/>
    <w:rsid w:val="00072EB2"/>
    <w:rsid w:val="00073021"/>
    <w:rsid w:val="00073565"/>
    <w:rsid w:val="000741E1"/>
    <w:rsid w:val="00074254"/>
    <w:rsid w:val="00074269"/>
    <w:rsid w:val="00074B70"/>
    <w:rsid w:val="00074CBB"/>
    <w:rsid w:val="00075193"/>
    <w:rsid w:val="00075342"/>
    <w:rsid w:val="00075EC5"/>
    <w:rsid w:val="000761D6"/>
    <w:rsid w:val="00076EAE"/>
    <w:rsid w:val="0007737D"/>
    <w:rsid w:val="000775BE"/>
    <w:rsid w:val="00080A84"/>
    <w:rsid w:val="00080B66"/>
    <w:rsid w:val="00080D28"/>
    <w:rsid w:val="000814C5"/>
    <w:rsid w:val="00081AD1"/>
    <w:rsid w:val="00081B31"/>
    <w:rsid w:val="00081CC8"/>
    <w:rsid w:val="000826E7"/>
    <w:rsid w:val="00082CEC"/>
    <w:rsid w:val="00082DF5"/>
    <w:rsid w:val="00082DFB"/>
    <w:rsid w:val="00083622"/>
    <w:rsid w:val="00083956"/>
    <w:rsid w:val="00083CB8"/>
    <w:rsid w:val="00084BEE"/>
    <w:rsid w:val="00084DB5"/>
    <w:rsid w:val="00084EFA"/>
    <w:rsid w:val="00084F60"/>
    <w:rsid w:val="00084FED"/>
    <w:rsid w:val="00085399"/>
    <w:rsid w:val="00086067"/>
    <w:rsid w:val="00087697"/>
    <w:rsid w:val="000877FF"/>
    <w:rsid w:val="00087F94"/>
    <w:rsid w:val="00090853"/>
    <w:rsid w:val="00090A38"/>
    <w:rsid w:val="00090B72"/>
    <w:rsid w:val="00090EEF"/>
    <w:rsid w:val="00091192"/>
    <w:rsid w:val="0009119B"/>
    <w:rsid w:val="00091256"/>
    <w:rsid w:val="000913C2"/>
    <w:rsid w:val="0009171C"/>
    <w:rsid w:val="000917E6"/>
    <w:rsid w:val="00091879"/>
    <w:rsid w:val="00091C85"/>
    <w:rsid w:val="00091D40"/>
    <w:rsid w:val="0009207B"/>
    <w:rsid w:val="000932B4"/>
    <w:rsid w:val="00093831"/>
    <w:rsid w:val="00093902"/>
    <w:rsid w:val="00093C31"/>
    <w:rsid w:val="00094733"/>
    <w:rsid w:val="00094BAB"/>
    <w:rsid w:val="00094DA4"/>
    <w:rsid w:val="00094ED2"/>
    <w:rsid w:val="00094FC8"/>
    <w:rsid w:val="0009556E"/>
    <w:rsid w:val="000961FD"/>
    <w:rsid w:val="00096564"/>
    <w:rsid w:val="00096681"/>
    <w:rsid w:val="00096A93"/>
    <w:rsid w:val="00097736"/>
    <w:rsid w:val="000979A2"/>
    <w:rsid w:val="000A1247"/>
    <w:rsid w:val="000A148D"/>
    <w:rsid w:val="000A1682"/>
    <w:rsid w:val="000A1685"/>
    <w:rsid w:val="000A17DA"/>
    <w:rsid w:val="000A1B22"/>
    <w:rsid w:val="000A1CE2"/>
    <w:rsid w:val="000A2682"/>
    <w:rsid w:val="000A278B"/>
    <w:rsid w:val="000A27ED"/>
    <w:rsid w:val="000A2827"/>
    <w:rsid w:val="000A285B"/>
    <w:rsid w:val="000A2C06"/>
    <w:rsid w:val="000A2E9B"/>
    <w:rsid w:val="000A2F9C"/>
    <w:rsid w:val="000A3217"/>
    <w:rsid w:val="000A33C5"/>
    <w:rsid w:val="000A3418"/>
    <w:rsid w:val="000A3449"/>
    <w:rsid w:val="000A3809"/>
    <w:rsid w:val="000A38C1"/>
    <w:rsid w:val="000A4147"/>
    <w:rsid w:val="000A4533"/>
    <w:rsid w:val="000A4576"/>
    <w:rsid w:val="000A46F2"/>
    <w:rsid w:val="000A47AA"/>
    <w:rsid w:val="000A486D"/>
    <w:rsid w:val="000A4C30"/>
    <w:rsid w:val="000A52BF"/>
    <w:rsid w:val="000A548D"/>
    <w:rsid w:val="000A6175"/>
    <w:rsid w:val="000A617B"/>
    <w:rsid w:val="000A62C4"/>
    <w:rsid w:val="000A66AB"/>
    <w:rsid w:val="000A6B84"/>
    <w:rsid w:val="000A6DD4"/>
    <w:rsid w:val="000A7274"/>
    <w:rsid w:val="000A72B0"/>
    <w:rsid w:val="000A7796"/>
    <w:rsid w:val="000A7922"/>
    <w:rsid w:val="000B0434"/>
    <w:rsid w:val="000B0B2D"/>
    <w:rsid w:val="000B0FD0"/>
    <w:rsid w:val="000B1128"/>
    <w:rsid w:val="000B1356"/>
    <w:rsid w:val="000B151A"/>
    <w:rsid w:val="000B30D5"/>
    <w:rsid w:val="000B3994"/>
    <w:rsid w:val="000B3EAD"/>
    <w:rsid w:val="000B44D7"/>
    <w:rsid w:val="000B51B3"/>
    <w:rsid w:val="000B5E69"/>
    <w:rsid w:val="000B6149"/>
    <w:rsid w:val="000B6484"/>
    <w:rsid w:val="000B65C7"/>
    <w:rsid w:val="000B683E"/>
    <w:rsid w:val="000B68CF"/>
    <w:rsid w:val="000B6D74"/>
    <w:rsid w:val="000B71E2"/>
    <w:rsid w:val="000B7441"/>
    <w:rsid w:val="000B7A81"/>
    <w:rsid w:val="000B7AAB"/>
    <w:rsid w:val="000C0526"/>
    <w:rsid w:val="000C0693"/>
    <w:rsid w:val="000C06C2"/>
    <w:rsid w:val="000C136A"/>
    <w:rsid w:val="000C16C1"/>
    <w:rsid w:val="000C1A57"/>
    <w:rsid w:val="000C1A81"/>
    <w:rsid w:val="000C1B68"/>
    <w:rsid w:val="000C2059"/>
    <w:rsid w:val="000C2220"/>
    <w:rsid w:val="000C264F"/>
    <w:rsid w:val="000C28AA"/>
    <w:rsid w:val="000C2AD8"/>
    <w:rsid w:val="000C3614"/>
    <w:rsid w:val="000C430E"/>
    <w:rsid w:val="000C43B8"/>
    <w:rsid w:val="000C521A"/>
    <w:rsid w:val="000C5DDC"/>
    <w:rsid w:val="000C60B7"/>
    <w:rsid w:val="000C6502"/>
    <w:rsid w:val="000C79B7"/>
    <w:rsid w:val="000C7E21"/>
    <w:rsid w:val="000D06AC"/>
    <w:rsid w:val="000D07EE"/>
    <w:rsid w:val="000D08C8"/>
    <w:rsid w:val="000D0A63"/>
    <w:rsid w:val="000D0CAD"/>
    <w:rsid w:val="000D0CEC"/>
    <w:rsid w:val="000D0E29"/>
    <w:rsid w:val="000D1079"/>
    <w:rsid w:val="000D198A"/>
    <w:rsid w:val="000D1D55"/>
    <w:rsid w:val="000D22FE"/>
    <w:rsid w:val="000D243F"/>
    <w:rsid w:val="000D2B99"/>
    <w:rsid w:val="000D317E"/>
    <w:rsid w:val="000D32FA"/>
    <w:rsid w:val="000D3762"/>
    <w:rsid w:val="000D37C6"/>
    <w:rsid w:val="000D3EB0"/>
    <w:rsid w:val="000D4392"/>
    <w:rsid w:val="000D4C60"/>
    <w:rsid w:val="000D629B"/>
    <w:rsid w:val="000D6446"/>
    <w:rsid w:val="000D647C"/>
    <w:rsid w:val="000D68CD"/>
    <w:rsid w:val="000D72EE"/>
    <w:rsid w:val="000D7D2C"/>
    <w:rsid w:val="000E01CB"/>
    <w:rsid w:val="000E17D2"/>
    <w:rsid w:val="000E188E"/>
    <w:rsid w:val="000E1AF0"/>
    <w:rsid w:val="000E1D32"/>
    <w:rsid w:val="000E1E1C"/>
    <w:rsid w:val="000E22CF"/>
    <w:rsid w:val="000E2553"/>
    <w:rsid w:val="000E2E4F"/>
    <w:rsid w:val="000E311C"/>
    <w:rsid w:val="000E3A70"/>
    <w:rsid w:val="000E3BF8"/>
    <w:rsid w:val="000E55F0"/>
    <w:rsid w:val="000E6BD3"/>
    <w:rsid w:val="000E745F"/>
    <w:rsid w:val="000E787B"/>
    <w:rsid w:val="000E7CB7"/>
    <w:rsid w:val="000E7D38"/>
    <w:rsid w:val="000E7D64"/>
    <w:rsid w:val="000F05B0"/>
    <w:rsid w:val="000F05F2"/>
    <w:rsid w:val="000F0811"/>
    <w:rsid w:val="000F08D7"/>
    <w:rsid w:val="000F0F82"/>
    <w:rsid w:val="000F15E6"/>
    <w:rsid w:val="000F1716"/>
    <w:rsid w:val="000F1F18"/>
    <w:rsid w:val="000F2CAD"/>
    <w:rsid w:val="000F2F13"/>
    <w:rsid w:val="000F306C"/>
    <w:rsid w:val="000F30A4"/>
    <w:rsid w:val="000F319B"/>
    <w:rsid w:val="000F334A"/>
    <w:rsid w:val="000F33B9"/>
    <w:rsid w:val="000F3771"/>
    <w:rsid w:val="000F3C6D"/>
    <w:rsid w:val="000F5277"/>
    <w:rsid w:val="000F58DC"/>
    <w:rsid w:val="000F5B6F"/>
    <w:rsid w:val="000F5C46"/>
    <w:rsid w:val="000F61BE"/>
    <w:rsid w:val="000F7116"/>
    <w:rsid w:val="000F73AC"/>
    <w:rsid w:val="001004EA"/>
    <w:rsid w:val="001008FD"/>
    <w:rsid w:val="00100AB4"/>
    <w:rsid w:val="00100D5C"/>
    <w:rsid w:val="0010108C"/>
    <w:rsid w:val="00101336"/>
    <w:rsid w:val="0010171B"/>
    <w:rsid w:val="001018D8"/>
    <w:rsid w:val="00101BD2"/>
    <w:rsid w:val="001022C0"/>
    <w:rsid w:val="00102556"/>
    <w:rsid w:val="00102B48"/>
    <w:rsid w:val="001031AF"/>
    <w:rsid w:val="0010323F"/>
    <w:rsid w:val="001032DE"/>
    <w:rsid w:val="001038D0"/>
    <w:rsid w:val="001038D9"/>
    <w:rsid w:val="00103AFB"/>
    <w:rsid w:val="00103B65"/>
    <w:rsid w:val="00103C42"/>
    <w:rsid w:val="00104B0D"/>
    <w:rsid w:val="00104BF1"/>
    <w:rsid w:val="00105FCC"/>
    <w:rsid w:val="0010658A"/>
    <w:rsid w:val="0010679A"/>
    <w:rsid w:val="00106866"/>
    <w:rsid w:val="00106D9B"/>
    <w:rsid w:val="001074F8"/>
    <w:rsid w:val="001076C5"/>
    <w:rsid w:val="00107DBC"/>
    <w:rsid w:val="00107F38"/>
    <w:rsid w:val="0011099B"/>
    <w:rsid w:val="00110AE0"/>
    <w:rsid w:val="00111526"/>
    <w:rsid w:val="0011209F"/>
    <w:rsid w:val="001123D8"/>
    <w:rsid w:val="00112661"/>
    <w:rsid w:val="00112DAC"/>
    <w:rsid w:val="00113104"/>
    <w:rsid w:val="001135D8"/>
    <w:rsid w:val="00113CC9"/>
    <w:rsid w:val="00113D2A"/>
    <w:rsid w:val="00113F22"/>
    <w:rsid w:val="001145F8"/>
    <w:rsid w:val="0011480D"/>
    <w:rsid w:val="00114925"/>
    <w:rsid w:val="001151C9"/>
    <w:rsid w:val="001153DF"/>
    <w:rsid w:val="00115A65"/>
    <w:rsid w:val="0011685A"/>
    <w:rsid w:val="00116F36"/>
    <w:rsid w:val="00117500"/>
    <w:rsid w:val="00117985"/>
    <w:rsid w:val="00117B0F"/>
    <w:rsid w:val="00117C97"/>
    <w:rsid w:val="00120028"/>
    <w:rsid w:val="0012020E"/>
    <w:rsid w:val="00120218"/>
    <w:rsid w:val="00120643"/>
    <w:rsid w:val="00120D26"/>
    <w:rsid w:val="00120F39"/>
    <w:rsid w:val="00121532"/>
    <w:rsid w:val="00121D52"/>
    <w:rsid w:val="0012250F"/>
    <w:rsid w:val="00122E53"/>
    <w:rsid w:val="00123736"/>
    <w:rsid w:val="0012373F"/>
    <w:rsid w:val="00123D2E"/>
    <w:rsid w:val="00123DD1"/>
    <w:rsid w:val="00123EF4"/>
    <w:rsid w:val="00124363"/>
    <w:rsid w:val="0012447E"/>
    <w:rsid w:val="001248EF"/>
    <w:rsid w:val="00124A22"/>
    <w:rsid w:val="00124AC8"/>
    <w:rsid w:val="00124E90"/>
    <w:rsid w:val="001251AD"/>
    <w:rsid w:val="00125B80"/>
    <w:rsid w:val="00126835"/>
    <w:rsid w:val="00126C38"/>
    <w:rsid w:val="001276B3"/>
    <w:rsid w:val="00130342"/>
    <w:rsid w:val="00130952"/>
    <w:rsid w:val="00130B75"/>
    <w:rsid w:val="00130EDB"/>
    <w:rsid w:val="00131157"/>
    <w:rsid w:val="00131397"/>
    <w:rsid w:val="0013274C"/>
    <w:rsid w:val="00132986"/>
    <w:rsid w:val="00132C24"/>
    <w:rsid w:val="00133217"/>
    <w:rsid w:val="00134991"/>
    <w:rsid w:val="00134B34"/>
    <w:rsid w:val="00135165"/>
    <w:rsid w:val="0013521A"/>
    <w:rsid w:val="001356CD"/>
    <w:rsid w:val="00135826"/>
    <w:rsid w:val="001359FE"/>
    <w:rsid w:val="00136805"/>
    <w:rsid w:val="001368F6"/>
    <w:rsid w:val="001377CD"/>
    <w:rsid w:val="00137D4E"/>
    <w:rsid w:val="001412A4"/>
    <w:rsid w:val="00141AB0"/>
    <w:rsid w:val="00141ABD"/>
    <w:rsid w:val="001423EC"/>
    <w:rsid w:val="0014297D"/>
    <w:rsid w:val="00142CE9"/>
    <w:rsid w:val="001434C6"/>
    <w:rsid w:val="0014378B"/>
    <w:rsid w:val="001440DD"/>
    <w:rsid w:val="00144598"/>
    <w:rsid w:val="0014478A"/>
    <w:rsid w:val="001447EF"/>
    <w:rsid w:val="001449DA"/>
    <w:rsid w:val="00144DB6"/>
    <w:rsid w:val="00145283"/>
    <w:rsid w:val="0014540A"/>
    <w:rsid w:val="00145618"/>
    <w:rsid w:val="00145E70"/>
    <w:rsid w:val="001472B1"/>
    <w:rsid w:val="00147A06"/>
    <w:rsid w:val="00150278"/>
    <w:rsid w:val="00150371"/>
    <w:rsid w:val="00150981"/>
    <w:rsid w:val="001509AF"/>
    <w:rsid w:val="00150A64"/>
    <w:rsid w:val="00150EF5"/>
    <w:rsid w:val="001510DD"/>
    <w:rsid w:val="00151207"/>
    <w:rsid w:val="0015208F"/>
    <w:rsid w:val="00152154"/>
    <w:rsid w:val="0015423F"/>
    <w:rsid w:val="001557AA"/>
    <w:rsid w:val="00155C72"/>
    <w:rsid w:val="00155CAB"/>
    <w:rsid w:val="00155F67"/>
    <w:rsid w:val="00156731"/>
    <w:rsid w:val="00156BDF"/>
    <w:rsid w:val="00156DEE"/>
    <w:rsid w:val="00160E90"/>
    <w:rsid w:val="00160FB7"/>
    <w:rsid w:val="00161E92"/>
    <w:rsid w:val="0016227B"/>
    <w:rsid w:val="001623F5"/>
    <w:rsid w:val="001624AD"/>
    <w:rsid w:val="00162D33"/>
    <w:rsid w:val="00163BF7"/>
    <w:rsid w:val="00163C74"/>
    <w:rsid w:val="00163F05"/>
    <w:rsid w:val="001649F6"/>
    <w:rsid w:val="00164DA5"/>
    <w:rsid w:val="00164E15"/>
    <w:rsid w:val="00164EBC"/>
    <w:rsid w:val="00165CCF"/>
    <w:rsid w:val="00165D0D"/>
    <w:rsid w:val="001661ED"/>
    <w:rsid w:val="00167DBA"/>
    <w:rsid w:val="001702EA"/>
    <w:rsid w:val="0017099E"/>
    <w:rsid w:val="001711AF"/>
    <w:rsid w:val="00171AAA"/>
    <w:rsid w:val="00171EC5"/>
    <w:rsid w:val="00172ABF"/>
    <w:rsid w:val="00172DB3"/>
    <w:rsid w:val="00172DCF"/>
    <w:rsid w:val="00172F70"/>
    <w:rsid w:val="001733BE"/>
    <w:rsid w:val="00173A99"/>
    <w:rsid w:val="00174B42"/>
    <w:rsid w:val="00174E1F"/>
    <w:rsid w:val="00174E69"/>
    <w:rsid w:val="001753ED"/>
    <w:rsid w:val="00175597"/>
    <w:rsid w:val="00175C86"/>
    <w:rsid w:val="00176135"/>
    <w:rsid w:val="00176F17"/>
    <w:rsid w:val="001772CE"/>
    <w:rsid w:val="0017766D"/>
    <w:rsid w:val="001776C2"/>
    <w:rsid w:val="0018044B"/>
    <w:rsid w:val="00180BC1"/>
    <w:rsid w:val="00180BCD"/>
    <w:rsid w:val="00181129"/>
    <w:rsid w:val="00181212"/>
    <w:rsid w:val="00181599"/>
    <w:rsid w:val="00182565"/>
    <w:rsid w:val="00182DB9"/>
    <w:rsid w:val="00182FE4"/>
    <w:rsid w:val="00183074"/>
    <w:rsid w:val="001832A0"/>
    <w:rsid w:val="00183BCF"/>
    <w:rsid w:val="00183C9E"/>
    <w:rsid w:val="001840E9"/>
    <w:rsid w:val="00184195"/>
    <w:rsid w:val="001848E8"/>
    <w:rsid w:val="00184B8C"/>
    <w:rsid w:val="00184F56"/>
    <w:rsid w:val="00185021"/>
    <w:rsid w:val="00185311"/>
    <w:rsid w:val="00186A32"/>
    <w:rsid w:val="001870E5"/>
    <w:rsid w:val="00187DFA"/>
    <w:rsid w:val="00187FAF"/>
    <w:rsid w:val="00190174"/>
    <w:rsid w:val="00190975"/>
    <w:rsid w:val="00190C48"/>
    <w:rsid w:val="00190D61"/>
    <w:rsid w:val="001910E8"/>
    <w:rsid w:val="00191729"/>
    <w:rsid w:val="001920CD"/>
    <w:rsid w:val="00192318"/>
    <w:rsid w:val="0019339B"/>
    <w:rsid w:val="001935ED"/>
    <w:rsid w:val="0019386E"/>
    <w:rsid w:val="00193D88"/>
    <w:rsid w:val="00194425"/>
    <w:rsid w:val="001944A3"/>
    <w:rsid w:val="00194794"/>
    <w:rsid w:val="00194C36"/>
    <w:rsid w:val="00194F69"/>
    <w:rsid w:val="00195706"/>
    <w:rsid w:val="00195EC4"/>
    <w:rsid w:val="0019623E"/>
    <w:rsid w:val="0019651C"/>
    <w:rsid w:val="001976EE"/>
    <w:rsid w:val="00197B52"/>
    <w:rsid w:val="001A06A6"/>
    <w:rsid w:val="001A08B1"/>
    <w:rsid w:val="001A0B2F"/>
    <w:rsid w:val="001A0BFF"/>
    <w:rsid w:val="001A11D6"/>
    <w:rsid w:val="001A1BC5"/>
    <w:rsid w:val="001A1F98"/>
    <w:rsid w:val="001A24F2"/>
    <w:rsid w:val="001A28B7"/>
    <w:rsid w:val="001A2CC8"/>
    <w:rsid w:val="001A2F1A"/>
    <w:rsid w:val="001A49A2"/>
    <w:rsid w:val="001A4F57"/>
    <w:rsid w:val="001A54D4"/>
    <w:rsid w:val="001A592C"/>
    <w:rsid w:val="001A5DE3"/>
    <w:rsid w:val="001A6A9C"/>
    <w:rsid w:val="001A6CC0"/>
    <w:rsid w:val="001A7152"/>
    <w:rsid w:val="001A7421"/>
    <w:rsid w:val="001A7619"/>
    <w:rsid w:val="001A7EAE"/>
    <w:rsid w:val="001B00A4"/>
    <w:rsid w:val="001B0705"/>
    <w:rsid w:val="001B0ECF"/>
    <w:rsid w:val="001B10A6"/>
    <w:rsid w:val="001B125B"/>
    <w:rsid w:val="001B1260"/>
    <w:rsid w:val="001B1505"/>
    <w:rsid w:val="001B1BE0"/>
    <w:rsid w:val="001B22C0"/>
    <w:rsid w:val="001B2304"/>
    <w:rsid w:val="001B2A43"/>
    <w:rsid w:val="001B361B"/>
    <w:rsid w:val="001B3658"/>
    <w:rsid w:val="001B5A76"/>
    <w:rsid w:val="001B5BE5"/>
    <w:rsid w:val="001B5BE8"/>
    <w:rsid w:val="001B6434"/>
    <w:rsid w:val="001B674F"/>
    <w:rsid w:val="001B679F"/>
    <w:rsid w:val="001B7025"/>
    <w:rsid w:val="001B733F"/>
    <w:rsid w:val="001B76CD"/>
    <w:rsid w:val="001B7CA7"/>
    <w:rsid w:val="001C07B3"/>
    <w:rsid w:val="001C0A3D"/>
    <w:rsid w:val="001C0A44"/>
    <w:rsid w:val="001C1637"/>
    <w:rsid w:val="001C1679"/>
    <w:rsid w:val="001C1CE2"/>
    <w:rsid w:val="001C1FE9"/>
    <w:rsid w:val="001C24ED"/>
    <w:rsid w:val="001C2E5A"/>
    <w:rsid w:val="001C3445"/>
    <w:rsid w:val="001C39A1"/>
    <w:rsid w:val="001C4055"/>
    <w:rsid w:val="001C436B"/>
    <w:rsid w:val="001C4EC9"/>
    <w:rsid w:val="001C5433"/>
    <w:rsid w:val="001C56B4"/>
    <w:rsid w:val="001C5A00"/>
    <w:rsid w:val="001C5D59"/>
    <w:rsid w:val="001C5EBA"/>
    <w:rsid w:val="001C6518"/>
    <w:rsid w:val="001C667F"/>
    <w:rsid w:val="001C6D7C"/>
    <w:rsid w:val="001C72A5"/>
    <w:rsid w:val="001C767B"/>
    <w:rsid w:val="001C79A9"/>
    <w:rsid w:val="001C7B7F"/>
    <w:rsid w:val="001C7DF4"/>
    <w:rsid w:val="001C7EC1"/>
    <w:rsid w:val="001D070E"/>
    <w:rsid w:val="001D0F9A"/>
    <w:rsid w:val="001D1432"/>
    <w:rsid w:val="001D15A9"/>
    <w:rsid w:val="001D184E"/>
    <w:rsid w:val="001D1931"/>
    <w:rsid w:val="001D1CD0"/>
    <w:rsid w:val="001D2855"/>
    <w:rsid w:val="001D2E37"/>
    <w:rsid w:val="001D313A"/>
    <w:rsid w:val="001D316D"/>
    <w:rsid w:val="001D31E8"/>
    <w:rsid w:val="001D3490"/>
    <w:rsid w:val="001D34BB"/>
    <w:rsid w:val="001D483C"/>
    <w:rsid w:val="001D4F87"/>
    <w:rsid w:val="001D5027"/>
    <w:rsid w:val="001D598B"/>
    <w:rsid w:val="001D5D13"/>
    <w:rsid w:val="001D5D6D"/>
    <w:rsid w:val="001D63D7"/>
    <w:rsid w:val="001D67F0"/>
    <w:rsid w:val="001D6E46"/>
    <w:rsid w:val="001D7618"/>
    <w:rsid w:val="001D7F20"/>
    <w:rsid w:val="001E00E0"/>
    <w:rsid w:val="001E0221"/>
    <w:rsid w:val="001E0778"/>
    <w:rsid w:val="001E0AF6"/>
    <w:rsid w:val="001E159F"/>
    <w:rsid w:val="001E16DE"/>
    <w:rsid w:val="001E2ACE"/>
    <w:rsid w:val="001E2F27"/>
    <w:rsid w:val="001E3909"/>
    <w:rsid w:val="001E3B80"/>
    <w:rsid w:val="001E3BDC"/>
    <w:rsid w:val="001E48EA"/>
    <w:rsid w:val="001E48F2"/>
    <w:rsid w:val="001E4E8B"/>
    <w:rsid w:val="001E5298"/>
    <w:rsid w:val="001E5F70"/>
    <w:rsid w:val="001E607E"/>
    <w:rsid w:val="001E6293"/>
    <w:rsid w:val="001E64EE"/>
    <w:rsid w:val="001E6A9F"/>
    <w:rsid w:val="001E7476"/>
    <w:rsid w:val="001E7603"/>
    <w:rsid w:val="001E7AED"/>
    <w:rsid w:val="001E7D46"/>
    <w:rsid w:val="001E7E5B"/>
    <w:rsid w:val="001F06C3"/>
    <w:rsid w:val="001F2A34"/>
    <w:rsid w:val="001F3C59"/>
    <w:rsid w:val="001F4022"/>
    <w:rsid w:val="001F44C3"/>
    <w:rsid w:val="001F56DD"/>
    <w:rsid w:val="001F5A63"/>
    <w:rsid w:val="001F6283"/>
    <w:rsid w:val="001F6E33"/>
    <w:rsid w:val="001F6F9B"/>
    <w:rsid w:val="001F6FEB"/>
    <w:rsid w:val="00200230"/>
    <w:rsid w:val="0020042D"/>
    <w:rsid w:val="00200D98"/>
    <w:rsid w:val="0020112F"/>
    <w:rsid w:val="0020173C"/>
    <w:rsid w:val="002021B8"/>
    <w:rsid w:val="00202FDB"/>
    <w:rsid w:val="002031F0"/>
    <w:rsid w:val="00203524"/>
    <w:rsid w:val="0020387E"/>
    <w:rsid w:val="00203E46"/>
    <w:rsid w:val="00203F7C"/>
    <w:rsid w:val="002043EF"/>
    <w:rsid w:val="00205477"/>
    <w:rsid w:val="002059DC"/>
    <w:rsid w:val="0020685A"/>
    <w:rsid w:val="00207027"/>
    <w:rsid w:val="00207694"/>
    <w:rsid w:val="00207B4B"/>
    <w:rsid w:val="00210EA0"/>
    <w:rsid w:val="002113C3"/>
    <w:rsid w:val="00211816"/>
    <w:rsid w:val="00211889"/>
    <w:rsid w:val="00211D98"/>
    <w:rsid w:val="0021229F"/>
    <w:rsid w:val="0021247D"/>
    <w:rsid w:val="002139F8"/>
    <w:rsid w:val="00214053"/>
    <w:rsid w:val="00214685"/>
    <w:rsid w:val="00214E19"/>
    <w:rsid w:val="002150FC"/>
    <w:rsid w:val="00215522"/>
    <w:rsid w:val="00215623"/>
    <w:rsid w:val="0021569C"/>
    <w:rsid w:val="00216CB7"/>
    <w:rsid w:val="00216F83"/>
    <w:rsid w:val="00217460"/>
    <w:rsid w:val="0021754D"/>
    <w:rsid w:val="00217DA1"/>
    <w:rsid w:val="0022030E"/>
    <w:rsid w:val="00220912"/>
    <w:rsid w:val="00220980"/>
    <w:rsid w:val="00220B6F"/>
    <w:rsid w:val="00220F24"/>
    <w:rsid w:val="00221323"/>
    <w:rsid w:val="00221327"/>
    <w:rsid w:val="00221C86"/>
    <w:rsid w:val="002221F8"/>
    <w:rsid w:val="002237EF"/>
    <w:rsid w:val="00223E5F"/>
    <w:rsid w:val="002242D4"/>
    <w:rsid w:val="00224971"/>
    <w:rsid w:val="0022557F"/>
    <w:rsid w:val="002256F0"/>
    <w:rsid w:val="00225CDD"/>
    <w:rsid w:val="002269FB"/>
    <w:rsid w:val="00226B0A"/>
    <w:rsid w:val="00226E42"/>
    <w:rsid w:val="0022775C"/>
    <w:rsid w:val="00230740"/>
    <w:rsid w:val="00230871"/>
    <w:rsid w:val="00230CA6"/>
    <w:rsid w:val="00230F22"/>
    <w:rsid w:val="0023108D"/>
    <w:rsid w:val="002310C3"/>
    <w:rsid w:val="00231CCF"/>
    <w:rsid w:val="00232D4D"/>
    <w:rsid w:val="0023340F"/>
    <w:rsid w:val="002337B6"/>
    <w:rsid w:val="00233967"/>
    <w:rsid w:val="00233E77"/>
    <w:rsid w:val="002341AE"/>
    <w:rsid w:val="0023425D"/>
    <w:rsid w:val="00234A8C"/>
    <w:rsid w:val="0023527E"/>
    <w:rsid w:val="00235676"/>
    <w:rsid w:val="00235E2D"/>
    <w:rsid w:val="00236350"/>
    <w:rsid w:val="002363D4"/>
    <w:rsid w:val="0023672C"/>
    <w:rsid w:val="00236B22"/>
    <w:rsid w:val="002374AA"/>
    <w:rsid w:val="00237D94"/>
    <w:rsid w:val="002416BE"/>
    <w:rsid w:val="002418F4"/>
    <w:rsid w:val="00242CE2"/>
    <w:rsid w:val="00242F48"/>
    <w:rsid w:val="00243A69"/>
    <w:rsid w:val="00243C41"/>
    <w:rsid w:val="00244648"/>
    <w:rsid w:val="00244903"/>
    <w:rsid w:val="00244AC6"/>
    <w:rsid w:val="00245276"/>
    <w:rsid w:val="00245F33"/>
    <w:rsid w:val="00247568"/>
    <w:rsid w:val="0025002A"/>
    <w:rsid w:val="00250264"/>
    <w:rsid w:val="002503F5"/>
    <w:rsid w:val="00250A2A"/>
    <w:rsid w:val="00250A71"/>
    <w:rsid w:val="00250A7A"/>
    <w:rsid w:val="00250DF0"/>
    <w:rsid w:val="00250E6E"/>
    <w:rsid w:val="00251520"/>
    <w:rsid w:val="00251B12"/>
    <w:rsid w:val="002529EA"/>
    <w:rsid w:val="00252A04"/>
    <w:rsid w:val="00252EB5"/>
    <w:rsid w:val="0025357E"/>
    <w:rsid w:val="00253A55"/>
    <w:rsid w:val="00253C18"/>
    <w:rsid w:val="00253D14"/>
    <w:rsid w:val="002548DB"/>
    <w:rsid w:val="00255969"/>
    <w:rsid w:val="00255C7B"/>
    <w:rsid w:val="00255FAE"/>
    <w:rsid w:val="00256BBB"/>
    <w:rsid w:val="002574F9"/>
    <w:rsid w:val="00257B8A"/>
    <w:rsid w:val="00257C91"/>
    <w:rsid w:val="00257DE3"/>
    <w:rsid w:val="00257FA4"/>
    <w:rsid w:val="00260253"/>
    <w:rsid w:val="00260326"/>
    <w:rsid w:val="0026058F"/>
    <w:rsid w:val="0026059C"/>
    <w:rsid w:val="0026101A"/>
    <w:rsid w:val="00261F26"/>
    <w:rsid w:val="00262686"/>
    <w:rsid w:val="00262ACE"/>
    <w:rsid w:val="00262E96"/>
    <w:rsid w:val="00263034"/>
    <w:rsid w:val="002640F6"/>
    <w:rsid w:val="00264781"/>
    <w:rsid w:val="00264A6A"/>
    <w:rsid w:val="00264EE9"/>
    <w:rsid w:val="00265202"/>
    <w:rsid w:val="002653BC"/>
    <w:rsid w:val="00265A15"/>
    <w:rsid w:val="00265D91"/>
    <w:rsid w:val="002660E4"/>
    <w:rsid w:val="00266458"/>
    <w:rsid w:val="00266B8C"/>
    <w:rsid w:val="00266CCC"/>
    <w:rsid w:val="00267277"/>
    <w:rsid w:val="00267281"/>
    <w:rsid w:val="0026774F"/>
    <w:rsid w:val="002677C4"/>
    <w:rsid w:val="002677FB"/>
    <w:rsid w:val="0027230A"/>
    <w:rsid w:val="0027272E"/>
    <w:rsid w:val="002732A8"/>
    <w:rsid w:val="0027359A"/>
    <w:rsid w:val="00273D3F"/>
    <w:rsid w:val="00274218"/>
    <w:rsid w:val="00274676"/>
    <w:rsid w:val="00275708"/>
    <w:rsid w:val="00276382"/>
    <w:rsid w:val="0027691C"/>
    <w:rsid w:val="00276EDA"/>
    <w:rsid w:val="0028040C"/>
    <w:rsid w:val="00280ACF"/>
    <w:rsid w:val="0028141C"/>
    <w:rsid w:val="002815DB"/>
    <w:rsid w:val="00281AC3"/>
    <w:rsid w:val="00281E24"/>
    <w:rsid w:val="00283373"/>
    <w:rsid w:val="002833CC"/>
    <w:rsid w:val="00283538"/>
    <w:rsid w:val="0028372E"/>
    <w:rsid w:val="00283F46"/>
    <w:rsid w:val="00284B76"/>
    <w:rsid w:val="00285FEE"/>
    <w:rsid w:val="0028619F"/>
    <w:rsid w:val="00286FB4"/>
    <w:rsid w:val="002879DA"/>
    <w:rsid w:val="0029005E"/>
    <w:rsid w:val="002906D3"/>
    <w:rsid w:val="00290767"/>
    <w:rsid w:val="00290779"/>
    <w:rsid w:val="0029085C"/>
    <w:rsid w:val="002917A5"/>
    <w:rsid w:val="00291DE9"/>
    <w:rsid w:val="00291F45"/>
    <w:rsid w:val="0029219C"/>
    <w:rsid w:val="002927F0"/>
    <w:rsid w:val="0029288C"/>
    <w:rsid w:val="00293162"/>
    <w:rsid w:val="0029332C"/>
    <w:rsid w:val="0029406B"/>
    <w:rsid w:val="0029540F"/>
    <w:rsid w:val="00295839"/>
    <w:rsid w:val="00295986"/>
    <w:rsid w:val="0029678B"/>
    <w:rsid w:val="00296A8C"/>
    <w:rsid w:val="00297204"/>
    <w:rsid w:val="002973CB"/>
    <w:rsid w:val="00297A9C"/>
    <w:rsid w:val="00297B1E"/>
    <w:rsid w:val="00297D40"/>
    <w:rsid w:val="002A07A3"/>
    <w:rsid w:val="002A0E77"/>
    <w:rsid w:val="002A2810"/>
    <w:rsid w:val="002A290C"/>
    <w:rsid w:val="002A2AEA"/>
    <w:rsid w:val="002A2B09"/>
    <w:rsid w:val="002A2F53"/>
    <w:rsid w:val="002A333D"/>
    <w:rsid w:val="002A3B95"/>
    <w:rsid w:val="002A418A"/>
    <w:rsid w:val="002A44D0"/>
    <w:rsid w:val="002A5314"/>
    <w:rsid w:val="002A5746"/>
    <w:rsid w:val="002A5AC4"/>
    <w:rsid w:val="002A5AFE"/>
    <w:rsid w:val="002A5B3B"/>
    <w:rsid w:val="002A6969"/>
    <w:rsid w:val="002A69BC"/>
    <w:rsid w:val="002A6A8B"/>
    <w:rsid w:val="002A6BC7"/>
    <w:rsid w:val="002A6CB3"/>
    <w:rsid w:val="002A703D"/>
    <w:rsid w:val="002A74B0"/>
    <w:rsid w:val="002A7617"/>
    <w:rsid w:val="002A7A38"/>
    <w:rsid w:val="002B003D"/>
    <w:rsid w:val="002B05A6"/>
    <w:rsid w:val="002B102F"/>
    <w:rsid w:val="002B12B5"/>
    <w:rsid w:val="002B17B4"/>
    <w:rsid w:val="002B19F9"/>
    <w:rsid w:val="002B22AE"/>
    <w:rsid w:val="002B2C3B"/>
    <w:rsid w:val="002B2DD0"/>
    <w:rsid w:val="002B3BD6"/>
    <w:rsid w:val="002B422D"/>
    <w:rsid w:val="002B47CB"/>
    <w:rsid w:val="002B48FC"/>
    <w:rsid w:val="002B4A2F"/>
    <w:rsid w:val="002B4CC0"/>
    <w:rsid w:val="002B4CDA"/>
    <w:rsid w:val="002B5AC4"/>
    <w:rsid w:val="002B5F25"/>
    <w:rsid w:val="002B6812"/>
    <w:rsid w:val="002B6896"/>
    <w:rsid w:val="002B6CBB"/>
    <w:rsid w:val="002B710F"/>
    <w:rsid w:val="002B79B2"/>
    <w:rsid w:val="002B7BAF"/>
    <w:rsid w:val="002B7BD1"/>
    <w:rsid w:val="002C0DBE"/>
    <w:rsid w:val="002C0DC7"/>
    <w:rsid w:val="002C0DEF"/>
    <w:rsid w:val="002C14EF"/>
    <w:rsid w:val="002C15B7"/>
    <w:rsid w:val="002C191B"/>
    <w:rsid w:val="002C1A06"/>
    <w:rsid w:val="002C1AEF"/>
    <w:rsid w:val="002C1E6A"/>
    <w:rsid w:val="002C208C"/>
    <w:rsid w:val="002C24BD"/>
    <w:rsid w:val="002C2DFC"/>
    <w:rsid w:val="002C3BF9"/>
    <w:rsid w:val="002C4074"/>
    <w:rsid w:val="002C432D"/>
    <w:rsid w:val="002C43F8"/>
    <w:rsid w:val="002C4DDB"/>
    <w:rsid w:val="002C51A0"/>
    <w:rsid w:val="002C62B1"/>
    <w:rsid w:val="002C70FA"/>
    <w:rsid w:val="002C7A48"/>
    <w:rsid w:val="002D05A3"/>
    <w:rsid w:val="002D0AE6"/>
    <w:rsid w:val="002D1859"/>
    <w:rsid w:val="002D1DDC"/>
    <w:rsid w:val="002D1EEE"/>
    <w:rsid w:val="002D2119"/>
    <w:rsid w:val="002D323B"/>
    <w:rsid w:val="002D397B"/>
    <w:rsid w:val="002D3C2D"/>
    <w:rsid w:val="002D3D48"/>
    <w:rsid w:val="002D3EB2"/>
    <w:rsid w:val="002D4262"/>
    <w:rsid w:val="002D46A2"/>
    <w:rsid w:val="002D489A"/>
    <w:rsid w:val="002D4B7B"/>
    <w:rsid w:val="002D5440"/>
    <w:rsid w:val="002D5ABE"/>
    <w:rsid w:val="002D6598"/>
    <w:rsid w:val="002D6847"/>
    <w:rsid w:val="002D7409"/>
    <w:rsid w:val="002D78A4"/>
    <w:rsid w:val="002D7A40"/>
    <w:rsid w:val="002D7F51"/>
    <w:rsid w:val="002E0685"/>
    <w:rsid w:val="002E0977"/>
    <w:rsid w:val="002E1D37"/>
    <w:rsid w:val="002E229B"/>
    <w:rsid w:val="002E22A4"/>
    <w:rsid w:val="002E22A5"/>
    <w:rsid w:val="002E29A7"/>
    <w:rsid w:val="002E2C9B"/>
    <w:rsid w:val="002E2CAF"/>
    <w:rsid w:val="002E4167"/>
    <w:rsid w:val="002E55C6"/>
    <w:rsid w:val="002E55E4"/>
    <w:rsid w:val="002E58A9"/>
    <w:rsid w:val="002E5BBB"/>
    <w:rsid w:val="002E67FA"/>
    <w:rsid w:val="002E6CBF"/>
    <w:rsid w:val="002F0548"/>
    <w:rsid w:val="002F0937"/>
    <w:rsid w:val="002F0ADC"/>
    <w:rsid w:val="002F1299"/>
    <w:rsid w:val="002F22EF"/>
    <w:rsid w:val="002F2CB7"/>
    <w:rsid w:val="002F2D24"/>
    <w:rsid w:val="002F32A9"/>
    <w:rsid w:val="002F34B7"/>
    <w:rsid w:val="002F464B"/>
    <w:rsid w:val="002F474B"/>
    <w:rsid w:val="002F49BB"/>
    <w:rsid w:val="002F4EF5"/>
    <w:rsid w:val="002F50B2"/>
    <w:rsid w:val="002F515B"/>
    <w:rsid w:val="002F51D7"/>
    <w:rsid w:val="002F5248"/>
    <w:rsid w:val="002F6116"/>
    <w:rsid w:val="002F64FB"/>
    <w:rsid w:val="002F6C9A"/>
    <w:rsid w:val="002F71F2"/>
    <w:rsid w:val="002F7249"/>
    <w:rsid w:val="002F72CF"/>
    <w:rsid w:val="002F750E"/>
    <w:rsid w:val="002F77F8"/>
    <w:rsid w:val="00300EE4"/>
    <w:rsid w:val="003012A7"/>
    <w:rsid w:val="003015E8"/>
    <w:rsid w:val="0030175F"/>
    <w:rsid w:val="0030178F"/>
    <w:rsid w:val="00302527"/>
    <w:rsid w:val="0030282E"/>
    <w:rsid w:val="0030287B"/>
    <w:rsid w:val="00302C15"/>
    <w:rsid w:val="003031EF"/>
    <w:rsid w:val="00303AF7"/>
    <w:rsid w:val="00303BB7"/>
    <w:rsid w:val="00303BC0"/>
    <w:rsid w:val="00303D19"/>
    <w:rsid w:val="0030438D"/>
    <w:rsid w:val="0030452B"/>
    <w:rsid w:val="00305692"/>
    <w:rsid w:val="00305C82"/>
    <w:rsid w:val="00306145"/>
    <w:rsid w:val="0030661F"/>
    <w:rsid w:val="0030675F"/>
    <w:rsid w:val="00306BD2"/>
    <w:rsid w:val="00306C47"/>
    <w:rsid w:val="00306E38"/>
    <w:rsid w:val="0030720A"/>
    <w:rsid w:val="00307771"/>
    <w:rsid w:val="00307A5E"/>
    <w:rsid w:val="00307E47"/>
    <w:rsid w:val="00310720"/>
    <w:rsid w:val="00310CFF"/>
    <w:rsid w:val="00311A3D"/>
    <w:rsid w:val="00311E1B"/>
    <w:rsid w:val="00312BD6"/>
    <w:rsid w:val="00312E2E"/>
    <w:rsid w:val="003131F3"/>
    <w:rsid w:val="003135A7"/>
    <w:rsid w:val="00313B8C"/>
    <w:rsid w:val="003148FC"/>
    <w:rsid w:val="00314BFA"/>
    <w:rsid w:val="00314E54"/>
    <w:rsid w:val="003155ED"/>
    <w:rsid w:val="00315EC3"/>
    <w:rsid w:val="00316252"/>
    <w:rsid w:val="0031741F"/>
    <w:rsid w:val="00317483"/>
    <w:rsid w:val="00317B05"/>
    <w:rsid w:val="00320008"/>
    <w:rsid w:val="00320AB4"/>
    <w:rsid w:val="0032123B"/>
    <w:rsid w:val="0032157E"/>
    <w:rsid w:val="00321B6D"/>
    <w:rsid w:val="00321E7C"/>
    <w:rsid w:val="00323510"/>
    <w:rsid w:val="00323D58"/>
    <w:rsid w:val="003240B6"/>
    <w:rsid w:val="003243CA"/>
    <w:rsid w:val="00324ABC"/>
    <w:rsid w:val="00325098"/>
    <w:rsid w:val="00325893"/>
    <w:rsid w:val="00325CD6"/>
    <w:rsid w:val="00325CE7"/>
    <w:rsid w:val="003266DE"/>
    <w:rsid w:val="00327453"/>
    <w:rsid w:val="00327732"/>
    <w:rsid w:val="003307FE"/>
    <w:rsid w:val="00330A76"/>
    <w:rsid w:val="00330C3A"/>
    <w:rsid w:val="00330C49"/>
    <w:rsid w:val="00331423"/>
    <w:rsid w:val="003315B9"/>
    <w:rsid w:val="003315BC"/>
    <w:rsid w:val="00331FD3"/>
    <w:rsid w:val="00332AAE"/>
    <w:rsid w:val="00332B17"/>
    <w:rsid w:val="00332D72"/>
    <w:rsid w:val="00333079"/>
    <w:rsid w:val="0033366C"/>
    <w:rsid w:val="0033488C"/>
    <w:rsid w:val="00334899"/>
    <w:rsid w:val="00336272"/>
    <w:rsid w:val="00337A16"/>
    <w:rsid w:val="003405D8"/>
    <w:rsid w:val="003407EE"/>
    <w:rsid w:val="00340833"/>
    <w:rsid w:val="003408E6"/>
    <w:rsid w:val="00341038"/>
    <w:rsid w:val="0034117C"/>
    <w:rsid w:val="003412EE"/>
    <w:rsid w:val="00341AEC"/>
    <w:rsid w:val="00341ED5"/>
    <w:rsid w:val="00342306"/>
    <w:rsid w:val="003423E4"/>
    <w:rsid w:val="00342B24"/>
    <w:rsid w:val="00342CF1"/>
    <w:rsid w:val="00342DEC"/>
    <w:rsid w:val="00343416"/>
    <w:rsid w:val="0034350E"/>
    <w:rsid w:val="00343812"/>
    <w:rsid w:val="003445BC"/>
    <w:rsid w:val="00344603"/>
    <w:rsid w:val="0034472B"/>
    <w:rsid w:val="00344826"/>
    <w:rsid w:val="00345DAE"/>
    <w:rsid w:val="00346EE1"/>
    <w:rsid w:val="00347494"/>
    <w:rsid w:val="00347813"/>
    <w:rsid w:val="00347C61"/>
    <w:rsid w:val="00350431"/>
    <w:rsid w:val="003508BF"/>
    <w:rsid w:val="00350C28"/>
    <w:rsid w:val="0035184C"/>
    <w:rsid w:val="003518AE"/>
    <w:rsid w:val="003519C8"/>
    <w:rsid w:val="00351FDF"/>
    <w:rsid w:val="0035239F"/>
    <w:rsid w:val="003527AF"/>
    <w:rsid w:val="00352AAE"/>
    <w:rsid w:val="00352B09"/>
    <w:rsid w:val="00352B7F"/>
    <w:rsid w:val="0035448A"/>
    <w:rsid w:val="00354520"/>
    <w:rsid w:val="00354562"/>
    <w:rsid w:val="00354A8E"/>
    <w:rsid w:val="00354B9E"/>
    <w:rsid w:val="00355174"/>
    <w:rsid w:val="003556A6"/>
    <w:rsid w:val="00355D6E"/>
    <w:rsid w:val="003561ED"/>
    <w:rsid w:val="0035783F"/>
    <w:rsid w:val="00357A78"/>
    <w:rsid w:val="00357CC3"/>
    <w:rsid w:val="003603F3"/>
    <w:rsid w:val="003604BE"/>
    <w:rsid w:val="00360D9D"/>
    <w:rsid w:val="00361941"/>
    <w:rsid w:val="00361A3D"/>
    <w:rsid w:val="00361B43"/>
    <w:rsid w:val="00361C7D"/>
    <w:rsid w:val="00361F70"/>
    <w:rsid w:val="00362A48"/>
    <w:rsid w:val="00362AC8"/>
    <w:rsid w:val="003638CD"/>
    <w:rsid w:val="00363D1E"/>
    <w:rsid w:val="00363D7B"/>
    <w:rsid w:val="00364625"/>
    <w:rsid w:val="0036508B"/>
    <w:rsid w:val="00365179"/>
    <w:rsid w:val="00366CFD"/>
    <w:rsid w:val="003670B4"/>
    <w:rsid w:val="003674C4"/>
    <w:rsid w:val="00367775"/>
    <w:rsid w:val="0037053E"/>
    <w:rsid w:val="00370754"/>
    <w:rsid w:val="003708EB"/>
    <w:rsid w:val="00372494"/>
    <w:rsid w:val="0037270B"/>
    <w:rsid w:val="00372D84"/>
    <w:rsid w:val="003734F1"/>
    <w:rsid w:val="003737B9"/>
    <w:rsid w:val="00373BF6"/>
    <w:rsid w:val="003748A9"/>
    <w:rsid w:val="00374DB8"/>
    <w:rsid w:val="00374F13"/>
    <w:rsid w:val="00375973"/>
    <w:rsid w:val="00375E3B"/>
    <w:rsid w:val="00375F11"/>
    <w:rsid w:val="003775B9"/>
    <w:rsid w:val="00377ADE"/>
    <w:rsid w:val="00377D1F"/>
    <w:rsid w:val="00377F29"/>
    <w:rsid w:val="0037D534"/>
    <w:rsid w:val="00381008"/>
    <w:rsid w:val="0038134D"/>
    <w:rsid w:val="0038162B"/>
    <w:rsid w:val="00381A9A"/>
    <w:rsid w:val="00381DBF"/>
    <w:rsid w:val="0038236A"/>
    <w:rsid w:val="00382E71"/>
    <w:rsid w:val="00382EF1"/>
    <w:rsid w:val="003844C7"/>
    <w:rsid w:val="003848FC"/>
    <w:rsid w:val="00384A5D"/>
    <w:rsid w:val="00384F31"/>
    <w:rsid w:val="00385A42"/>
    <w:rsid w:val="00385F46"/>
    <w:rsid w:val="00386ED7"/>
    <w:rsid w:val="00386FEF"/>
    <w:rsid w:val="00387932"/>
    <w:rsid w:val="00390540"/>
    <w:rsid w:val="00390AA4"/>
    <w:rsid w:val="00390C51"/>
    <w:rsid w:val="00391063"/>
    <w:rsid w:val="00391C7F"/>
    <w:rsid w:val="003922F4"/>
    <w:rsid w:val="00392599"/>
    <w:rsid w:val="003925FF"/>
    <w:rsid w:val="003931C6"/>
    <w:rsid w:val="0039326F"/>
    <w:rsid w:val="003935AC"/>
    <w:rsid w:val="00393CD7"/>
    <w:rsid w:val="00393D88"/>
    <w:rsid w:val="00394110"/>
    <w:rsid w:val="00395B48"/>
    <w:rsid w:val="003965E3"/>
    <w:rsid w:val="00396AB7"/>
    <w:rsid w:val="00396F57"/>
    <w:rsid w:val="00397A8E"/>
    <w:rsid w:val="003A0412"/>
    <w:rsid w:val="003A07BF"/>
    <w:rsid w:val="003A0EBC"/>
    <w:rsid w:val="003A10CB"/>
    <w:rsid w:val="003A14C8"/>
    <w:rsid w:val="003A2133"/>
    <w:rsid w:val="003A28EA"/>
    <w:rsid w:val="003A294A"/>
    <w:rsid w:val="003A29FF"/>
    <w:rsid w:val="003A2A81"/>
    <w:rsid w:val="003A4F37"/>
    <w:rsid w:val="003A55AB"/>
    <w:rsid w:val="003A5DFD"/>
    <w:rsid w:val="003A5FEF"/>
    <w:rsid w:val="003A64D9"/>
    <w:rsid w:val="003A6DD4"/>
    <w:rsid w:val="003A7034"/>
    <w:rsid w:val="003A7226"/>
    <w:rsid w:val="003A7329"/>
    <w:rsid w:val="003A7343"/>
    <w:rsid w:val="003A7C76"/>
    <w:rsid w:val="003A7CD3"/>
    <w:rsid w:val="003B084A"/>
    <w:rsid w:val="003B13D6"/>
    <w:rsid w:val="003B21B6"/>
    <w:rsid w:val="003B2851"/>
    <w:rsid w:val="003B2E4A"/>
    <w:rsid w:val="003B3076"/>
    <w:rsid w:val="003B3733"/>
    <w:rsid w:val="003B3F7E"/>
    <w:rsid w:val="003B40EA"/>
    <w:rsid w:val="003B4A70"/>
    <w:rsid w:val="003B4C09"/>
    <w:rsid w:val="003B5442"/>
    <w:rsid w:val="003B5644"/>
    <w:rsid w:val="003B5E63"/>
    <w:rsid w:val="003B5F19"/>
    <w:rsid w:val="003B60BD"/>
    <w:rsid w:val="003B6248"/>
    <w:rsid w:val="003B68B6"/>
    <w:rsid w:val="003B69DF"/>
    <w:rsid w:val="003B70AF"/>
    <w:rsid w:val="003B74CB"/>
    <w:rsid w:val="003B77FA"/>
    <w:rsid w:val="003B7D8B"/>
    <w:rsid w:val="003B7F1E"/>
    <w:rsid w:val="003C0A83"/>
    <w:rsid w:val="003C0E95"/>
    <w:rsid w:val="003C0EFC"/>
    <w:rsid w:val="003C12C4"/>
    <w:rsid w:val="003C19EC"/>
    <w:rsid w:val="003C21A9"/>
    <w:rsid w:val="003C357A"/>
    <w:rsid w:val="003C398A"/>
    <w:rsid w:val="003C4113"/>
    <w:rsid w:val="003C44FD"/>
    <w:rsid w:val="003C4544"/>
    <w:rsid w:val="003C4AFF"/>
    <w:rsid w:val="003C4EB8"/>
    <w:rsid w:val="003C50D1"/>
    <w:rsid w:val="003C51D5"/>
    <w:rsid w:val="003C55BC"/>
    <w:rsid w:val="003C55E9"/>
    <w:rsid w:val="003C65DF"/>
    <w:rsid w:val="003C68A8"/>
    <w:rsid w:val="003C6B05"/>
    <w:rsid w:val="003C6E1C"/>
    <w:rsid w:val="003C704F"/>
    <w:rsid w:val="003C71A4"/>
    <w:rsid w:val="003C73EB"/>
    <w:rsid w:val="003C7634"/>
    <w:rsid w:val="003D035D"/>
    <w:rsid w:val="003D067F"/>
    <w:rsid w:val="003D112C"/>
    <w:rsid w:val="003D1317"/>
    <w:rsid w:val="003D1722"/>
    <w:rsid w:val="003D17D3"/>
    <w:rsid w:val="003D2C26"/>
    <w:rsid w:val="003D2DF6"/>
    <w:rsid w:val="003D3C6B"/>
    <w:rsid w:val="003D43B9"/>
    <w:rsid w:val="003D5C27"/>
    <w:rsid w:val="003D5E89"/>
    <w:rsid w:val="003D6AA3"/>
    <w:rsid w:val="003D6D24"/>
    <w:rsid w:val="003D7323"/>
    <w:rsid w:val="003D7783"/>
    <w:rsid w:val="003D7B5B"/>
    <w:rsid w:val="003E06B2"/>
    <w:rsid w:val="003E0F2A"/>
    <w:rsid w:val="003E1308"/>
    <w:rsid w:val="003E1792"/>
    <w:rsid w:val="003E17EC"/>
    <w:rsid w:val="003E187F"/>
    <w:rsid w:val="003E21A5"/>
    <w:rsid w:val="003E3171"/>
    <w:rsid w:val="003E31D8"/>
    <w:rsid w:val="003E3490"/>
    <w:rsid w:val="003E34A6"/>
    <w:rsid w:val="003E354B"/>
    <w:rsid w:val="003E3829"/>
    <w:rsid w:val="003E3919"/>
    <w:rsid w:val="003E393A"/>
    <w:rsid w:val="003E3A1A"/>
    <w:rsid w:val="003E3B70"/>
    <w:rsid w:val="003E3F8C"/>
    <w:rsid w:val="003E3FA7"/>
    <w:rsid w:val="003E435D"/>
    <w:rsid w:val="003E4FB9"/>
    <w:rsid w:val="003E5222"/>
    <w:rsid w:val="003E5AAF"/>
    <w:rsid w:val="003E5EF0"/>
    <w:rsid w:val="003E6690"/>
    <w:rsid w:val="003E6755"/>
    <w:rsid w:val="003E6DA6"/>
    <w:rsid w:val="003E6F26"/>
    <w:rsid w:val="003E6FC4"/>
    <w:rsid w:val="003E704A"/>
    <w:rsid w:val="003E7367"/>
    <w:rsid w:val="003E7FB7"/>
    <w:rsid w:val="003F0BD2"/>
    <w:rsid w:val="003F1354"/>
    <w:rsid w:val="003F142D"/>
    <w:rsid w:val="003F1799"/>
    <w:rsid w:val="003F1899"/>
    <w:rsid w:val="003F1E6C"/>
    <w:rsid w:val="003F1F7A"/>
    <w:rsid w:val="003F2749"/>
    <w:rsid w:val="003F289C"/>
    <w:rsid w:val="003F2A6B"/>
    <w:rsid w:val="003F2FC6"/>
    <w:rsid w:val="003F311A"/>
    <w:rsid w:val="003F3780"/>
    <w:rsid w:val="003F3B67"/>
    <w:rsid w:val="003F4041"/>
    <w:rsid w:val="003F4296"/>
    <w:rsid w:val="003F44F2"/>
    <w:rsid w:val="003F463B"/>
    <w:rsid w:val="003F4757"/>
    <w:rsid w:val="003F4A8A"/>
    <w:rsid w:val="003F4CA3"/>
    <w:rsid w:val="003F5B09"/>
    <w:rsid w:val="003F5C35"/>
    <w:rsid w:val="003F6156"/>
    <w:rsid w:val="003F6B5A"/>
    <w:rsid w:val="003F74FC"/>
    <w:rsid w:val="003F7E46"/>
    <w:rsid w:val="00400677"/>
    <w:rsid w:val="00400DD9"/>
    <w:rsid w:val="004010E3"/>
    <w:rsid w:val="004016EC"/>
    <w:rsid w:val="00401898"/>
    <w:rsid w:val="00401B21"/>
    <w:rsid w:val="00401BCB"/>
    <w:rsid w:val="004021E9"/>
    <w:rsid w:val="00402646"/>
    <w:rsid w:val="00403580"/>
    <w:rsid w:val="00404F89"/>
    <w:rsid w:val="00405693"/>
    <w:rsid w:val="004058B0"/>
    <w:rsid w:val="00405BA3"/>
    <w:rsid w:val="00406988"/>
    <w:rsid w:val="004069DB"/>
    <w:rsid w:val="00406F61"/>
    <w:rsid w:val="0040727E"/>
    <w:rsid w:val="00407389"/>
    <w:rsid w:val="00407788"/>
    <w:rsid w:val="00407C9E"/>
    <w:rsid w:val="00407E19"/>
    <w:rsid w:val="0041077C"/>
    <w:rsid w:val="00410A19"/>
    <w:rsid w:val="00411030"/>
    <w:rsid w:val="004113E7"/>
    <w:rsid w:val="0041163E"/>
    <w:rsid w:val="0041166B"/>
    <w:rsid w:val="0041223F"/>
    <w:rsid w:val="00412555"/>
    <w:rsid w:val="00413688"/>
    <w:rsid w:val="00413EC0"/>
    <w:rsid w:val="00413F00"/>
    <w:rsid w:val="00414258"/>
    <w:rsid w:val="004144E4"/>
    <w:rsid w:val="004148CC"/>
    <w:rsid w:val="0041491C"/>
    <w:rsid w:val="0041495E"/>
    <w:rsid w:val="00414BA4"/>
    <w:rsid w:val="00414CBF"/>
    <w:rsid w:val="00415062"/>
    <w:rsid w:val="00415110"/>
    <w:rsid w:val="004158D8"/>
    <w:rsid w:val="00415C80"/>
    <w:rsid w:val="00416194"/>
    <w:rsid w:val="00416938"/>
    <w:rsid w:val="00417C1A"/>
    <w:rsid w:val="004201C6"/>
    <w:rsid w:val="004203F2"/>
    <w:rsid w:val="00420E5A"/>
    <w:rsid w:val="00420E6E"/>
    <w:rsid w:val="00421212"/>
    <w:rsid w:val="00421337"/>
    <w:rsid w:val="00421912"/>
    <w:rsid w:val="00421C01"/>
    <w:rsid w:val="00423308"/>
    <w:rsid w:val="004237E3"/>
    <w:rsid w:val="00423B77"/>
    <w:rsid w:val="00424060"/>
    <w:rsid w:val="0042513D"/>
    <w:rsid w:val="004251F0"/>
    <w:rsid w:val="00425609"/>
    <w:rsid w:val="004257ED"/>
    <w:rsid w:val="00425EB5"/>
    <w:rsid w:val="00427273"/>
    <w:rsid w:val="00427C14"/>
    <w:rsid w:val="00427E0A"/>
    <w:rsid w:val="00427EC1"/>
    <w:rsid w:val="004310A5"/>
    <w:rsid w:val="00431173"/>
    <w:rsid w:val="0043144A"/>
    <w:rsid w:val="0043205B"/>
    <w:rsid w:val="00432520"/>
    <w:rsid w:val="004325A0"/>
    <w:rsid w:val="004331E9"/>
    <w:rsid w:val="0043331D"/>
    <w:rsid w:val="004336BE"/>
    <w:rsid w:val="00434469"/>
    <w:rsid w:val="0043477A"/>
    <w:rsid w:val="0043507E"/>
    <w:rsid w:val="00435EB8"/>
    <w:rsid w:val="0043655C"/>
    <w:rsid w:val="00436641"/>
    <w:rsid w:val="00437582"/>
    <w:rsid w:val="0043775E"/>
    <w:rsid w:val="0043783A"/>
    <w:rsid w:val="004379E9"/>
    <w:rsid w:val="0044117B"/>
    <w:rsid w:val="00441442"/>
    <w:rsid w:val="00441EB9"/>
    <w:rsid w:val="00442112"/>
    <w:rsid w:val="0044225A"/>
    <w:rsid w:val="00442395"/>
    <w:rsid w:val="00442653"/>
    <w:rsid w:val="0044271E"/>
    <w:rsid w:val="0044317C"/>
    <w:rsid w:val="00443CD5"/>
    <w:rsid w:val="00444063"/>
    <w:rsid w:val="004441A9"/>
    <w:rsid w:val="00444523"/>
    <w:rsid w:val="0044460E"/>
    <w:rsid w:val="004461FB"/>
    <w:rsid w:val="004464F9"/>
    <w:rsid w:val="00446A79"/>
    <w:rsid w:val="004472A4"/>
    <w:rsid w:val="004475D7"/>
    <w:rsid w:val="00447699"/>
    <w:rsid w:val="004500C1"/>
    <w:rsid w:val="004501B0"/>
    <w:rsid w:val="00450DCC"/>
    <w:rsid w:val="00451B47"/>
    <w:rsid w:val="00451D55"/>
    <w:rsid w:val="004522CC"/>
    <w:rsid w:val="00452793"/>
    <w:rsid w:val="00453188"/>
    <w:rsid w:val="00455AF9"/>
    <w:rsid w:val="00455D10"/>
    <w:rsid w:val="00457845"/>
    <w:rsid w:val="00457BEC"/>
    <w:rsid w:val="00460BB4"/>
    <w:rsid w:val="004615EC"/>
    <w:rsid w:val="00461A51"/>
    <w:rsid w:val="004621B7"/>
    <w:rsid w:val="004629A1"/>
    <w:rsid w:val="004629A7"/>
    <w:rsid w:val="00462BAD"/>
    <w:rsid w:val="00463204"/>
    <w:rsid w:val="004633AA"/>
    <w:rsid w:val="00463603"/>
    <w:rsid w:val="004638BC"/>
    <w:rsid w:val="00463E05"/>
    <w:rsid w:val="0046437D"/>
    <w:rsid w:val="0046446F"/>
    <w:rsid w:val="004647AD"/>
    <w:rsid w:val="00464AC7"/>
    <w:rsid w:val="00464E77"/>
    <w:rsid w:val="004664F3"/>
    <w:rsid w:val="00467323"/>
    <w:rsid w:val="004674A4"/>
    <w:rsid w:val="0046755B"/>
    <w:rsid w:val="00467C42"/>
    <w:rsid w:val="00470145"/>
    <w:rsid w:val="004705F6"/>
    <w:rsid w:val="00470748"/>
    <w:rsid w:val="0047084F"/>
    <w:rsid w:val="00470FB7"/>
    <w:rsid w:val="004715EC"/>
    <w:rsid w:val="00471912"/>
    <w:rsid w:val="00471BAE"/>
    <w:rsid w:val="00471DAC"/>
    <w:rsid w:val="0047203F"/>
    <w:rsid w:val="00472D71"/>
    <w:rsid w:val="00473D51"/>
    <w:rsid w:val="00474AF8"/>
    <w:rsid w:val="00474AFD"/>
    <w:rsid w:val="0047602E"/>
    <w:rsid w:val="0047638C"/>
    <w:rsid w:val="0047652F"/>
    <w:rsid w:val="00476BDC"/>
    <w:rsid w:val="00476C9D"/>
    <w:rsid w:val="0047724D"/>
    <w:rsid w:val="004777FC"/>
    <w:rsid w:val="004800BA"/>
    <w:rsid w:val="00480541"/>
    <w:rsid w:val="00480684"/>
    <w:rsid w:val="00480D7F"/>
    <w:rsid w:val="004810D2"/>
    <w:rsid w:val="004813A3"/>
    <w:rsid w:val="00481456"/>
    <w:rsid w:val="00481785"/>
    <w:rsid w:val="004826B4"/>
    <w:rsid w:val="00482740"/>
    <w:rsid w:val="00482A7A"/>
    <w:rsid w:val="0048359A"/>
    <w:rsid w:val="00483A1C"/>
    <w:rsid w:val="00483DAC"/>
    <w:rsid w:val="00484D06"/>
    <w:rsid w:val="004854F2"/>
    <w:rsid w:val="004856B5"/>
    <w:rsid w:val="004858B7"/>
    <w:rsid w:val="00485923"/>
    <w:rsid w:val="004859B3"/>
    <w:rsid w:val="00486A2A"/>
    <w:rsid w:val="00486D30"/>
    <w:rsid w:val="00487060"/>
    <w:rsid w:val="0048730E"/>
    <w:rsid w:val="00487845"/>
    <w:rsid w:val="00487A02"/>
    <w:rsid w:val="00487C07"/>
    <w:rsid w:val="00487F3C"/>
    <w:rsid w:val="0049000C"/>
    <w:rsid w:val="00490C2F"/>
    <w:rsid w:val="00494053"/>
    <w:rsid w:val="004949E8"/>
    <w:rsid w:val="00494B64"/>
    <w:rsid w:val="00494EBD"/>
    <w:rsid w:val="00495542"/>
    <w:rsid w:val="00495635"/>
    <w:rsid w:val="0049599E"/>
    <w:rsid w:val="00495AEF"/>
    <w:rsid w:val="00495B36"/>
    <w:rsid w:val="00496C88"/>
    <w:rsid w:val="00497AC7"/>
    <w:rsid w:val="00497D50"/>
    <w:rsid w:val="00497E06"/>
    <w:rsid w:val="00497E0A"/>
    <w:rsid w:val="004A086F"/>
    <w:rsid w:val="004A0951"/>
    <w:rsid w:val="004A0CA2"/>
    <w:rsid w:val="004A11D1"/>
    <w:rsid w:val="004A1500"/>
    <w:rsid w:val="004A18A5"/>
    <w:rsid w:val="004A20B7"/>
    <w:rsid w:val="004A26E8"/>
    <w:rsid w:val="004A29A0"/>
    <w:rsid w:val="004A2E0C"/>
    <w:rsid w:val="004A2EE2"/>
    <w:rsid w:val="004A32B2"/>
    <w:rsid w:val="004A373E"/>
    <w:rsid w:val="004A3840"/>
    <w:rsid w:val="004A44A1"/>
    <w:rsid w:val="004A47D6"/>
    <w:rsid w:val="004A4AC4"/>
    <w:rsid w:val="004A51D4"/>
    <w:rsid w:val="004A6AC8"/>
    <w:rsid w:val="004A75B1"/>
    <w:rsid w:val="004A78CB"/>
    <w:rsid w:val="004B0A1B"/>
    <w:rsid w:val="004B15C6"/>
    <w:rsid w:val="004B1859"/>
    <w:rsid w:val="004B1A7D"/>
    <w:rsid w:val="004B21E5"/>
    <w:rsid w:val="004B24D1"/>
    <w:rsid w:val="004B2A0C"/>
    <w:rsid w:val="004B2B1B"/>
    <w:rsid w:val="004B3406"/>
    <w:rsid w:val="004B398F"/>
    <w:rsid w:val="004B3C60"/>
    <w:rsid w:val="004B4B75"/>
    <w:rsid w:val="004B5625"/>
    <w:rsid w:val="004B5A36"/>
    <w:rsid w:val="004B6426"/>
    <w:rsid w:val="004B6554"/>
    <w:rsid w:val="004B6DE6"/>
    <w:rsid w:val="004B6F11"/>
    <w:rsid w:val="004B752E"/>
    <w:rsid w:val="004C041F"/>
    <w:rsid w:val="004C0A20"/>
    <w:rsid w:val="004C0DE3"/>
    <w:rsid w:val="004C1891"/>
    <w:rsid w:val="004C2524"/>
    <w:rsid w:val="004C29B3"/>
    <w:rsid w:val="004C2B75"/>
    <w:rsid w:val="004C2EE9"/>
    <w:rsid w:val="004C315E"/>
    <w:rsid w:val="004C40EE"/>
    <w:rsid w:val="004C422C"/>
    <w:rsid w:val="004C422F"/>
    <w:rsid w:val="004C4A61"/>
    <w:rsid w:val="004C4C5E"/>
    <w:rsid w:val="004C54CC"/>
    <w:rsid w:val="004C5CF6"/>
    <w:rsid w:val="004C5E79"/>
    <w:rsid w:val="004C6047"/>
    <w:rsid w:val="004C6809"/>
    <w:rsid w:val="004C6C3A"/>
    <w:rsid w:val="004C7129"/>
    <w:rsid w:val="004C7B1A"/>
    <w:rsid w:val="004D0D5C"/>
    <w:rsid w:val="004D0DE6"/>
    <w:rsid w:val="004D0EB9"/>
    <w:rsid w:val="004D1177"/>
    <w:rsid w:val="004D1507"/>
    <w:rsid w:val="004D195B"/>
    <w:rsid w:val="004D1AAE"/>
    <w:rsid w:val="004D2490"/>
    <w:rsid w:val="004D2780"/>
    <w:rsid w:val="004D2825"/>
    <w:rsid w:val="004D2F77"/>
    <w:rsid w:val="004D304F"/>
    <w:rsid w:val="004D38E5"/>
    <w:rsid w:val="004D3C36"/>
    <w:rsid w:val="004D404A"/>
    <w:rsid w:val="004D44C5"/>
    <w:rsid w:val="004D44F6"/>
    <w:rsid w:val="004D46BC"/>
    <w:rsid w:val="004D472C"/>
    <w:rsid w:val="004D4C17"/>
    <w:rsid w:val="004D4E7E"/>
    <w:rsid w:val="004D505B"/>
    <w:rsid w:val="004D5C55"/>
    <w:rsid w:val="004D5CED"/>
    <w:rsid w:val="004D5F6C"/>
    <w:rsid w:val="004D5FD8"/>
    <w:rsid w:val="004D639E"/>
    <w:rsid w:val="004D6D4A"/>
    <w:rsid w:val="004D7008"/>
    <w:rsid w:val="004D7276"/>
    <w:rsid w:val="004D765E"/>
    <w:rsid w:val="004E019A"/>
    <w:rsid w:val="004E0B42"/>
    <w:rsid w:val="004E0D6F"/>
    <w:rsid w:val="004E0FEB"/>
    <w:rsid w:val="004E1211"/>
    <w:rsid w:val="004E1341"/>
    <w:rsid w:val="004E1480"/>
    <w:rsid w:val="004E1B61"/>
    <w:rsid w:val="004E1C06"/>
    <w:rsid w:val="004E1EAA"/>
    <w:rsid w:val="004E1F0E"/>
    <w:rsid w:val="004E20BD"/>
    <w:rsid w:val="004E3419"/>
    <w:rsid w:val="004E3424"/>
    <w:rsid w:val="004E45D1"/>
    <w:rsid w:val="004E4847"/>
    <w:rsid w:val="004E4C3D"/>
    <w:rsid w:val="004E4CB8"/>
    <w:rsid w:val="004E4E76"/>
    <w:rsid w:val="004E56DB"/>
    <w:rsid w:val="004E68E0"/>
    <w:rsid w:val="004E6AE4"/>
    <w:rsid w:val="004E6B8F"/>
    <w:rsid w:val="004E6BD4"/>
    <w:rsid w:val="004E6C0F"/>
    <w:rsid w:val="004E766D"/>
    <w:rsid w:val="004E7A39"/>
    <w:rsid w:val="004F04F7"/>
    <w:rsid w:val="004F0823"/>
    <w:rsid w:val="004F0D0B"/>
    <w:rsid w:val="004F15D2"/>
    <w:rsid w:val="004F1863"/>
    <w:rsid w:val="004F1F2B"/>
    <w:rsid w:val="004F2483"/>
    <w:rsid w:val="004F25BA"/>
    <w:rsid w:val="004F2CCA"/>
    <w:rsid w:val="004F2EDC"/>
    <w:rsid w:val="004F32E2"/>
    <w:rsid w:val="004F3EEA"/>
    <w:rsid w:val="004F44A6"/>
    <w:rsid w:val="004F4C59"/>
    <w:rsid w:val="004F4E04"/>
    <w:rsid w:val="004F521D"/>
    <w:rsid w:val="004F53A3"/>
    <w:rsid w:val="004F57AE"/>
    <w:rsid w:val="004F59C5"/>
    <w:rsid w:val="004F5AE5"/>
    <w:rsid w:val="004F5FE2"/>
    <w:rsid w:val="004F60B1"/>
    <w:rsid w:val="004F60CB"/>
    <w:rsid w:val="004F63FC"/>
    <w:rsid w:val="004F67AF"/>
    <w:rsid w:val="004F6F83"/>
    <w:rsid w:val="004F70D7"/>
    <w:rsid w:val="004F762E"/>
    <w:rsid w:val="004F7D7E"/>
    <w:rsid w:val="00501339"/>
    <w:rsid w:val="00502293"/>
    <w:rsid w:val="005028C7"/>
    <w:rsid w:val="00502991"/>
    <w:rsid w:val="00502E25"/>
    <w:rsid w:val="00503311"/>
    <w:rsid w:val="0050364B"/>
    <w:rsid w:val="00503E72"/>
    <w:rsid w:val="00503FF1"/>
    <w:rsid w:val="00504DE0"/>
    <w:rsid w:val="005056C2"/>
    <w:rsid w:val="00505766"/>
    <w:rsid w:val="005058DD"/>
    <w:rsid w:val="00506432"/>
    <w:rsid w:val="0050665D"/>
    <w:rsid w:val="0050692B"/>
    <w:rsid w:val="00506D98"/>
    <w:rsid w:val="00506F64"/>
    <w:rsid w:val="00507BDC"/>
    <w:rsid w:val="005100F1"/>
    <w:rsid w:val="00510F48"/>
    <w:rsid w:val="005114A4"/>
    <w:rsid w:val="00512717"/>
    <w:rsid w:val="00512D81"/>
    <w:rsid w:val="00512DBF"/>
    <w:rsid w:val="005130EA"/>
    <w:rsid w:val="0051347B"/>
    <w:rsid w:val="00513713"/>
    <w:rsid w:val="00513A2B"/>
    <w:rsid w:val="00513B05"/>
    <w:rsid w:val="00513E44"/>
    <w:rsid w:val="00513ECE"/>
    <w:rsid w:val="005156BA"/>
    <w:rsid w:val="0051595F"/>
    <w:rsid w:val="00515A10"/>
    <w:rsid w:val="00515C5A"/>
    <w:rsid w:val="005168B2"/>
    <w:rsid w:val="00516C4F"/>
    <w:rsid w:val="005170D0"/>
    <w:rsid w:val="00517459"/>
    <w:rsid w:val="005174F9"/>
    <w:rsid w:val="00517EE9"/>
    <w:rsid w:val="00520191"/>
    <w:rsid w:val="00520281"/>
    <w:rsid w:val="00521137"/>
    <w:rsid w:val="00521318"/>
    <w:rsid w:val="0052170A"/>
    <w:rsid w:val="00521A03"/>
    <w:rsid w:val="005223AE"/>
    <w:rsid w:val="00522E8A"/>
    <w:rsid w:val="0052324F"/>
    <w:rsid w:val="005233C0"/>
    <w:rsid w:val="00524FFB"/>
    <w:rsid w:val="0052548E"/>
    <w:rsid w:val="00525BC8"/>
    <w:rsid w:val="00525D57"/>
    <w:rsid w:val="00525EC0"/>
    <w:rsid w:val="00525FD9"/>
    <w:rsid w:val="005263F1"/>
    <w:rsid w:val="005268EB"/>
    <w:rsid w:val="00526BD1"/>
    <w:rsid w:val="0052732B"/>
    <w:rsid w:val="00527376"/>
    <w:rsid w:val="00527514"/>
    <w:rsid w:val="005275ED"/>
    <w:rsid w:val="005276CD"/>
    <w:rsid w:val="005278AE"/>
    <w:rsid w:val="0053047D"/>
    <w:rsid w:val="005307AF"/>
    <w:rsid w:val="005307E5"/>
    <w:rsid w:val="00531BAE"/>
    <w:rsid w:val="00531E25"/>
    <w:rsid w:val="00532411"/>
    <w:rsid w:val="00532D6C"/>
    <w:rsid w:val="00533B8E"/>
    <w:rsid w:val="00533EA6"/>
    <w:rsid w:val="005343D0"/>
    <w:rsid w:val="0053499B"/>
    <w:rsid w:val="0053564D"/>
    <w:rsid w:val="0053575F"/>
    <w:rsid w:val="00535B83"/>
    <w:rsid w:val="005367CD"/>
    <w:rsid w:val="00537F95"/>
    <w:rsid w:val="0054048A"/>
    <w:rsid w:val="005405CE"/>
    <w:rsid w:val="005408FD"/>
    <w:rsid w:val="00540AE9"/>
    <w:rsid w:val="00540BBA"/>
    <w:rsid w:val="0054102E"/>
    <w:rsid w:val="00541095"/>
    <w:rsid w:val="00541FE4"/>
    <w:rsid w:val="005423A7"/>
    <w:rsid w:val="00542569"/>
    <w:rsid w:val="005425DD"/>
    <w:rsid w:val="00542A89"/>
    <w:rsid w:val="00542CF0"/>
    <w:rsid w:val="00542D27"/>
    <w:rsid w:val="00542EB5"/>
    <w:rsid w:val="00543C31"/>
    <w:rsid w:val="00543E57"/>
    <w:rsid w:val="00544FC1"/>
    <w:rsid w:val="00545B94"/>
    <w:rsid w:val="005466E6"/>
    <w:rsid w:val="005468B2"/>
    <w:rsid w:val="005475E8"/>
    <w:rsid w:val="00547996"/>
    <w:rsid w:val="00547AC7"/>
    <w:rsid w:val="00547D69"/>
    <w:rsid w:val="00547DB8"/>
    <w:rsid w:val="005502B2"/>
    <w:rsid w:val="00550D2E"/>
    <w:rsid w:val="00551019"/>
    <w:rsid w:val="00551829"/>
    <w:rsid w:val="00551E29"/>
    <w:rsid w:val="00552205"/>
    <w:rsid w:val="005533F3"/>
    <w:rsid w:val="00553A05"/>
    <w:rsid w:val="00553CFA"/>
    <w:rsid w:val="005542B4"/>
    <w:rsid w:val="0055459F"/>
    <w:rsid w:val="00554764"/>
    <w:rsid w:val="005549AD"/>
    <w:rsid w:val="005549CE"/>
    <w:rsid w:val="00554AA7"/>
    <w:rsid w:val="00555557"/>
    <w:rsid w:val="005558EC"/>
    <w:rsid w:val="005560D4"/>
    <w:rsid w:val="00557165"/>
    <w:rsid w:val="00557CAA"/>
    <w:rsid w:val="00557CBB"/>
    <w:rsid w:val="00557DE1"/>
    <w:rsid w:val="00560BB2"/>
    <w:rsid w:val="00560F52"/>
    <w:rsid w:val="00561214"/>
    <w:rsid w:val="005617B7"/>
    <w:rsid w:val="00561B26"/>
    <w:rsid w:val="005628C2"/>
    <w:rsid w:val="005629F9"/>
    <w:rsid w:val="00562A5E"/>
    <w:rsid w:val="00562BEF"/>
    <w:rsid w:val="00562C70"/>
    <w:rsid w:val="00562DF0"/>
    <w:rsid w:val="00562FBD"/>
    <w:rsid w:val="0056323C"/>
    <w:rsid w:val="005632CC"/>
    <w:rsid w:val="00563535"/>
    <w:rsid w:val="00563996"/>
    <w:rsid w:val="00563E25"/>
    <w:rsid w:val="00563F3A"/>
    <w:rsid w:val="00564ADC"/>
    <w:rsid w:val="0056539C"/>
    <w:rsid w:val="00565D96"/>
    <w:rsid w:val="005660EE"/>
    <w:rsid w:val="005673AE"/>
    <w:rsid w:val="0056759A"/>
    <w:rsid w:val="005677B9"/>
    <w:rsid w:val="00572828"/>
    <w:rsid w:val="005728A1"/>
    <w:rsid w:val="00572DFF"/>
    <w:rsid w:val="00573709"/>
    <w:rsid w:val="005737ED"/>
    <w:rsid w:val="00573910"/>
    <w:rsid w:val="00573A89"/>
    <w:rsid w:val="00573F65"/>
    <w:rsid w:val="0057405E"/>
    <w:rsid w:val="0057415B"/>
    <w:rsid w:val="0057435E"/>
    <w:rsid w:val="0057454F"/>
    <w:rsid w:val="00574587"/>
    <w:rsid w:val="0057518D"/>
    <w:rsid w:val="005766A9"/>
    <w:rsid w:val="00576C32"/>
    <w:rsid w:val="00576D3F"/>
    <w:rsid w:val="00576FD3"/>
    <w:rsid w:val="005774DC"/>
    <w:rsid w:val="00577B1C"/>
    <w:rsid w:val="00581002"/>
    <w:rsid w:val="0058204A"/>
    <w:rsid w:val="0058209E"/>
    <w:rsid w:val="00582550"/>
    <w:rsid w:val="005838CD"/>
    <w:rsid w:val="00583C7F"/>
    <w:rsid w:val="00584726"/>
    <w:rsid w:val="00584984"/>
    <w:rsid w:val="00584DC1"/>
    <w:rsid w:val="00585537"/>
    <w:rsid w:val="00585726"/>
    <w:rsid w:val="005863FB"/>
    <w:rsid w:val="00586883"/>
    <w:rsid w:val="00586CFE"/>
    <w:rsid w:val="00586D6D"/>
    <w:rsid w:val="005871BF"/>
    <w:rsid w:val="00587349"/>
    <w:rsid w:val="00587C19"/>
    <w:rsid w:val="00587E25"/>
    <w:rsid w:val="0059072F"/>
    <w:rsid w:val="00590EA1"/>
    <w:rsid w:val="005912AE"/>
    <w:rsid w:val="00593863"/>
    <w:rsid w:val="005939D1"/>
    <w:rsid w:val="00593A4C"/>
    <w:rsid w:val="00593D7F"/>
    <w:rsid w:val="00593EE6"/>
    <w:rsid w:val="00594111"/>
    <w:rsid w:val="005946AF"/>
    <w:rsid w:val="00594B6E"/>
    <w:rsid w:val="005956A6"/>
    <w:rsid w:val="0059612D"/>
    <w:rsid w:val="00596426"/>
    <w:rsid w:val="0059689E"/>
    <w:rsid w:val="00597026"/>
    <w:rsid w:val="005970D6"/>
    <w:rsid w:val="00597324"/>
    <w:rsid w:val="00597463"/>
    <w:rsid w:val="00597BA0"/>
    <w:rsid w:val="00597BFE"/>
    <w:rsid w:val="005A0558"/>
    <w:rsid w:val="005A0C07"/>
    <w:rsid w:val="005A0D07"/>
    <w:rsid w:val="005A0D27"/>
    <w:rsid w:val="005A0EC4"/>
    <w:rsid w:val="005A1A65"/>
    <w:rsid w:val="005A25AE"/>
    <w:rsid w:val="005A27B3"/>
    <w:rsid w:val="005A28AD"/>
    <w:rsid w:val="005A2A68"/>
    <w:rsid w:val="005A2E01"/>
    <w:rsid w:val="005A321A"/>
    <w:rsid w:val="005A39C0"/>
    <w:rsid w:val="005A476C"/>
    <w:rsid w:val="005A4BC2"/>
    <w:rsid w:val="005A5294"/>
    <w:rsid w:val="005A5334"/>
    <w:rsid w:val="005A555B"/>
    <w:rsid w:val="005A58CA"/>
    <w:rsid w:val="005A5BE0"/>
    <w:rsid w:val="005A5DEC"/>
    <w:rsid w:val="005A6634"/>
    <w:rsid w:val="005A6D74"/>
    <w:rsid w:val="005A6F30"/>
    <w:rsid w:val="005B0404"/>
    <w:rsid w:val="005B12E5"/>
    <w:rsid w:val="005B1CE3"/>
    <w:rsid w:val="005B30FB"/>
    <w:rsid w:val="005B3238"/>
    <w:rsid w:val="005B3296"/>
    <w:rsid w:val="005B352A"/>
    <w:rsid w:val="005B366D"/>
    <w:rsid w:val="005B3E1C"/>
    <w:rsid w:val="005B4024"/>
    <w:rsid w:val="005B464C"/>
    <w:rsid w:val="005B4856"/>
    <w:rsid w:val="005B56EB"/>
    <w:rsid w:val="005B66FC"/>
    <w:rsid w:val="005B6A06"/>
    <w:rsid w:val="005C072F"/>
    <w:rsid w:val="005C0B5F"/>
    <w:rsid w:val="005C16C9"/>
    <w:rsid w:val="005C1920"/>
    <w:rsid w:val="005C1D3E"/>
    <w:rsid w:val="005C30C2"/>
    <w:rsid w:val="005C41ED"/>
    <w:rsid w:val="005C42CA"/>
    <w:rsid w:val="005C4433"/>
    <w:rsid w:val="005C4D68"/>
    <w:rsid w:val="005C55BE"/>
    <w:rsid w:val="005C62C5"/>
    <w:rsid w:val="005C65E0"/>
    <w:rsid w:val="005C69C5"/>
    <w:rsid w:val="005C6E9D"/>
    <w:rsid w:val="005C6F1E"/>
    <w:rsid w:val="005C6F56"/>
    <w:rsid w:val="005C73FE"/>
    <w:rsid w:val="005C77B0"/>
    <w:rsid w:val="005C7A33"/>
    <w:rsid w:val="005D037B"/>
    <w:rsid w:val="005D03A3"/>
    <w:rsid w:val="005D1181"/>
    <w:rsid w:val="005D1249"/>
    <w:rsid w:val="005D2507"/>
    <w:rsid w:val="005D2D3A"/>
    <w:rsid w:val="005D432A"/>
    <w:rsid w:val="005D469F"/>
    <w:rsid w:val="005D4817"/>
    <w:rsid w:val="005D482B"/>
    <w:rsid w:val="005D555D"/>
    <w:rsid w:val="005D5EAE"/>
    <w:rsid w:val="005D748B"/>
    <w:rsid w:val="005D7AAD"/>
    <w:rsid w:val="005D7B1A"/>
    <w:rsid w:val="005D7D9E"/>
    <w:rsid w:val="005E05C0"/>
    <w:rsid w:val="005E1E83"/>
    <w:rsid w:val="005E1FE2"/>
    <w:rsid w:val="005E2BF2"/>
    <w:rsid w:val="005E3922"/>
    <w:rsid w:val="005E3E4F"/>
    <w:rsid w:val="005E3F82"/>
    <w:rsid w:val="005E42EB"/>
    <w:rsid w:val="005E56DC"/>
    <w:rsid w:val="005E6819"/>
    <w:rsid w:val="005E7117"/>
    <w:rsid w:val="005E718F"/>
    <w:rsid w:val="005F01ED"/>
    <w:rsid w:val="005F0D3B"/>
    <w:rsid w:val="005F108D"/>
    <w:rsid w:val="005F1CF4"/>
    <w:rsid w:val="005F1D98"/>
    <w:rsid w:val="005F1DB8"/>
    <w:rsid w:val="005F2CC6"/>
    <w:rsid w:val="005F3043"/>
    <w:rsid w:val="005F3398"/>
    <w:rsid w:val="005F33F3"/>
    <w:rsid w:val="005F36ED"/>
    <w:rsid w:val="005F38E7"/>
    <w:rsid w:val="005F3AA8"/>
    <w:rsid w:val="005F3E6C"/>
    <w:rsid w:val="005F3FF0"/>
    <w:rsid w:val="005F4234"/>
    <w:rsid w:val="005F4318"/>
    <w:rsid w:val="005F477F"/>
    <w:rsid w:val="005F4E2B"/>
    <w:rsid w:val="005F5310"/>
    <w:rsid w:val="005F67B4"/>
    <w:rsid w:val="005F6800"/>
    <w:rsid w:val="0060007E"/>
    <w:rsid w:val="00600529"/>
    <w:rsid w:val="00600B2A"/>
    <w:rsid w:val="00600CF6"/>
    <w:rsid w:val="00600FA5"/>
    <w:rsid w:val="00601467"/>
    <w:rsid w:val="00602CD0"/>
    <w:rsid w:val="00602FCE"/>
    <w:rsid w:val="00603003"/>
    <w:rsid w:val="006031E5"/>
    <w:rsid w:val="00603201"/>
    <w:rsid w:val="00603503"/>
    <w:rsid w:val="00603891"/>
    <w:rsid w:val="00603CAE"/>
    <w:rsid w:val="00603E94"/>
    <w:rsid w:val="00604469"/>
    <w:rsid w:val="00604FF9"/>
    <w:rsid w:val="0060514F"/>
    <w:rsid w:val="00605B0F"/>
    <w:rsid w:val="0060669F"/>
    <w:rsid w:val="00607E0F"/>
    <w:rsid w:val="0061050E"/>
    <w:rsid w:val="0061053B"/>
    <w:rsid w:val="006109F3"/>
    <w:rsid w:val="0061160C"/>
    <w:rsid w:val="00611F4C"/>
    <w:rsid w:val="006122DC"/>
    <w:rsid w:val="0061234B"/>
    <w:rsid w:val="006123D3"/>
    <w:rsid w:val="0061279B"/>
    <w:rsid w:val="006128B1"/>
    <w:rsid w:val="00612ADD"/>
    <w:rsid w:val="00613788"/>
    <w:rsid w:val="00613A31"/>
    <w:rsid w:val="00614041"/>
    <w:rsid w:val="00614A3A"/>
    <w:rsid w:val="00614CF9"/>
    <w:rsid w:val="00614D69"/>
    <w:rsid w:val="00614EA1"/>
    <w:rsid w:val="006150C7"/>
    <w:rsid w:val="00615484"/>
    <w:rsid w:val="00615EC3"/>
    <w:rsid w:val="0061640A"/>
    <w:rsid w:val="00616ECA"/>
    <w:rsid w:val="0061725F"/>
    <w:rsid w:val="0061729C"/>
    <w:rsid w:val="00617DDE"/>
    <w:rsid w:val="00617EDC"/>
    <w:rsid w:val="00620249"/>
    <w:rsid w:val="006203F2"/>
    <w:rsid w:val="0062068E"/>
    <w:rsid w:val="006219E7"/>
    <w:rsid w:val="00621D5D"/>
    <w:rsid w:val="00621F43"/>
    <w:rsid w:val="006229C5"/>
    <w:rsid w:val="00623883"/>
    <w:rsid w:val="00623E4D"/>
    <w:rsid w:val="00623F1E"/>
    <w:rsid w:val="00624048"/>
    <w:rsid w:val="00625BDE"/>
    <w:rsid w:val="00625F42"/>
    <w:rsid w:val="00626124"/>
    <w:rsid w:val="006270CF"/>
    <w:rsid w:val="006272A0"/>
    <w:rsid w:val="00627985"/>
    <w:rsid w:val="00627C33"/>
    <w:rsid w:val="00627D66"/>
    <w:rsid w:val="00627F1B"/>
    <w:rsid w:val="00627F61"/>
    <w:rsid w:val="00627F8F"/>
    <w:rsid w:val="006302DA"/>
    <w:rsid w:val="0063044F"/>
    <w:rsid w:val="00630A57"/>
    <w:rsid w:val="00630ADA"/>
    <w:rsid w:val="00631205"/>
    <w:rsid w:val="00631421"/>
    <w:rsid w:val="00631589"/>
    <w:rsid w:val="006318C4"/>
    <w:rsid w:val="00631B04"/>
    <w:rsid w:val="00632030"/>
    <w:rsid w:val="00632051"/>
    <w:rsid w:val="00632D01"/>
    <w:rsid w:val="006336A3"/>
    <w:rsid w:val="006337D0"/>
    <w:rsid w:val="00633F9B"/>
    <w:rsid w:val="006342E9"/>
    <w:rsid w:val="00634801"/>
    <w:rsid w:val="00634EB4"/>
    <w:rsid w:val="006363A4"/>
    <w:rsid w:val="0063652A"/>
    <w:rsid w:val="00636745"/>
    <w:rsid w:val="00636F82"/>
    <w:rsid w:val="00637F3B"/>
    <w:rsid w:val="00640767"/>
    <w:rsid w:val="00641803"/>
    <w:rsid w:val="00641DF7"/>
    <w:rsid w:val="00641FCB"/>
    <w:rsid w:val="006422EA"/>
    <w:rsid w:val="0064296D"/>
    <w:rsid w:val="0064322B"/>
    <w:rsid w:val="00643809"/>
    <w:rsid w:val="0064452C"/>
    <w:rsid w:val="00644553"/>
    <w:rsid w:val="00644B6C"/>
    <w:rsid w:val="0064530F"/>
    <w:rsid w:val="00645B76"/>
    <w:rsid w:val="00646661"/>
    <w:rsid w:val="0064676C"/>
    <w:rsid w:val="00646864"/>
    <w:rsid w:val="00647488"/>
    <w:rsid w:val="006476C1"/>
    <w:rsid w:val="006478E2"/>
    <w:rsid w:val="00647DB1"/>
    <w:rsid w:val="00647EBD"/>
    <w:rsid w:val="0065035E"/>
    <w:rsid w:val="006506A8"/>
    <w:rsid w:val="00650FD5"/>
    <w:rsid w:val="00651082"/>
    <w:rsid w:val="00651FB6"/>
    <w:rsid w:val="00652E49"/>
    <w:rsid w:val="00652EFB"/>
    <w:rsid w:val="0065387C"/>
    <w:rsid w:val="0065399F"/>
    <w:rsid w:val="00653EA8"/>
    <w:rsid w:val="006541BB"/>
    <w:rsid w:val="00654624"/>
    <w:rsid w:val="0065481E"/>
    <w:rsid w:val="00655EDE"/>
    <w:rsid w:val="0065624E"/>
    <w:rsid w:val="006565BA"/>
    <w:rsid w:val="0065708D"/>
    <w:rsid w:val="00657433"/>
    <w:rsid w:val="0065786D"/>
    <w:rsid w:val="0066008D"/>
    <w:rsid w:val="00660B36"/>
    <w:rsid w:val="00661F48"/>
    <w:rsid w:val="006627C7"/>
    <w:rsid w:val="00662898"/>
    <w:rsid w:val="00662BAB"/>
    <w:rsid w:val="00663002"/>
    <w:rsid w:val="00663AEE"/>
    <w:rsid w:val="00663AFF"/>
    <w:rsid w:val="00663C88"/>
    <w:rsid w:val="00663DB5"/>
    <w:rsid w:val="00663FA0"/>
    <w:rsid w:val="00664565"/>
    <w:rsid w:val="00664CA0"/>
    <w:rsid w:val="006652B5"/>
    <w:rsid w:val="00665557"/>
    <w:rsid w:val="00665A92"/>
    <w:rsid w:val="00665EC7"/>
    <w:rsid w:val="0066613C"/>
    <w:rsid w:val="006666DA"/>
    <w:rsid w:val="00666B08"/>
    <w:rsid w:val="00666CCD"/>
    <w:rsid w:val="006674E3"/>
    <w:rsid w:val="00667570"/>
    <w:rsid w:val="00667EBD"/>
    <w:rsid w:val="006702A6"/>
    <w:rsid w:val="0067045A"/>
    <w:rsid w:val="00670496"/>
    <w:rsid w:val="006717ED"/>
    <w:rsid w:val="0067297F"/>
    <w:rsid w:val="00672B29"/>
    <w:rsid w:val="006732E7"/>
    <w:rsid w:val="00673354"/>
    <w:rsid w:val="00673CDD"/>
    <w:rsid w:val="00673E2B"/>
    <w:rsid w:val="006748EB"/>
    <w:rsid w:val="00674F8E"/>
    <w:rsid w:val="0067573F"/>
    <w:rsid w:val="00675BA8"/>
    <w:rsid w:val="00676176"/>
    <w:rsid w:val="006773DF"/>
    <w:rsid w:val="00677C4F"/>
    <w:rsid w:val="00680022"/>
    <w:rsid w:val="00680507"/>
    <w:rsid w:val="00680641"/>
    <w:rsid w:val="00680865"/>
    <w:rsid w:val="00681FE2"/>
    <w:rsid w:val="006829AC"/>
    <w:rsid w:val="00683223"/>
    <w:rsid w:val="0068358F"/>
    <w:rsid w:val="00683D09"/>
    <w:rsid w:val="00683D57"/>
    <w:rsid w:val="00683DAB"/>
    <w:rsid w:val="0068410A"/>
    <w:rsid w:val="0068436C"/>
    <w:rsid w:val="00684791"/>
    <w:rsid w:val="00685034"/>
    <w:rsid w:val="00685036"/>
    <w:rsid w:val="006852DF"/>
    <w:rsid w:val="00685A34"/>
    <w:rsid w:val="00686828"/>
    <w:rsid w:val="00686BBD"/>
    <w:rsid w:val="006870B2"/>
    <w:rsid w:val="00687ECE"/>
    <w:rsid w:val="006903D4"/>
    <w:rsid w:val="0069079C"/>
    <w:rsid w:val="00691182"/>
    <w:rsid w:val="006911F8"/>
    <w:rsid w:val="00691443"/>
    <w:rsid w:val="0069164E"/>
    <w:rsid w:val="00692F32"/>
    <w:rsid w:val="0069305C"/>
    <w:rsid w:val="0069324F"/>
    <w:rsid w:val="00693397"/>
    <w:rsid w:val="006936CD"/>
    <w:rsid w:val="00693B5B"/>
    <w:rsid w:val="00693DA7"/>
    <w:rsid w:val="006942FA"/>
    <w:rsid w:val="0069488C"/>
    <w:rsid w:val="00695D88"/>
    <w:rsid w:val="006975F4"/>
    <w:rsid w:val="006A064D"/>
    <w:rsid w:val="006A0680"/>
    <w:rsid w:val="006A06A6"/>
    <w:rsid w:val="006A14BE"/>
    <w:rsid w:val="006A1598"/>
    <w:rsid w:val="006A1BE5"/>
    <w:rsid w:val="006A26D6"/>
    <w:rsid w:val="006A32B0"/>
    <w:rsid w:val="006A3E26"/>
    <w:rsid w:val="006A4EAE"/>
    <w:rsid w:val="006A57F6"/>
    <w:rsid w:val="006A602B"/>
    <w:rsid w:val="006A60AB"/>
    <w:rsid w:val="006A696C"/>
    <w:rsid w:val="006A6A79"/>
    <w:rsid w:val="006A7388"/>
    <w:rsid w:val="006A7D0B"/>
    <w:rsid w:val="006A7EFA"/>
    <w:rsid w:val="006B0771"/>
    <w:rsid w:val="006B0BDD"/>
    <w:rsid w:val="006B10C0"/>
    <w:rsid w:val="006B10C5"/>
    <w:rsid w:val="006B1559"/>
    <w:rsid w:val="006B1A56"/>
    <w:rsid w:val="006B1E11"/>
    <w:rsid w:val="006B1ED5"/>
    <w:rsid w:val="006B3447"/>
    <w:rsid w:val="006B3837"/>
    <w:rsid w:val="006B39C9"/>
    <w:rsid w:val="006B3D79"/>
    <w:rsid w:val="006B4153"/>
    <w:rsid w:val="006B47C8"/>
    <w:rsid w:val="006B4959"/>
    <w:rsid w:val="006B51EC"/>
    <w:rsid w:val="006B5254"/>
    <w:rsid w:val="006B5268"/>
    <w:rsid w:val="006B56F5"/>
    <w:rsid w:val="006B61BF"/>
    <w:rsid w:val="006B6305"/>
    <w:rsid w:val="006B7A68"/>
    <w:rsid w:val="006B7CA5"/>
    <w:rsid w:val="006C0633"/>
    <w:rsid w:val="006C0A7B"/>
    <w:rsid w:val="006C0F8F"/>
    <w:rsid w:val="006C14AE"/>
    <w:rsid w:val="006C1DF6"/>
    <w:rsid w:val="006C1E39"/>
    <w:rsid w:val="006C1EB7"/>
    <w:rsid w:val="006C27A2"/>
    <w:rsid w:val="006C29A8"/>
    <w:rsid w:val="006C2CE2"/>
    <w:rsid w:val="006C2D8C"/>
    <w:rsid w:val="006C30AA"/>
    <w:rsid w:val="006C3619"/>
    <w:rsid w:val="006C3907"/>
    <w:rsid w:val="006C3C41"/>
    <w:rsid w:val="006C3C84"/>
    <w:rsid w:val="006C5629"/>
    <w:rsid w:val="006C5A27"/>
    <w:rsid w:val="006C5A72"/>
    <w:rsid w:val="006C5C44"/>
    <w:rsid w:val="006C65CE"/>
    <w:rsid w:val="006C6936"/>
    <w:rsid w:val="006C6AD1"/>
    <w:rsid w:val="006C7499"/>
    <w:rsid w:val="006C75C1"/>
    <w:rsid w:val="006C799C"/>
    <w:rsid w:val="006C7EA0"/>
    <w:rsid w:val="006D021C"/>
    <w:rsid w:val="006D02BD"/>
    <w:rsid w:val="006D0653"/>
    <w:rsid w:val="006D0ACA"/>
    <w:rsid w:val="006D110E"/>
    <w:rsid w:val="006D1459"/>
    <w:rsid w:val="006D146A"/>
    <w:rsid w:val="006D2562"/>
    <w:rsid w:val="006D2BB6"/>
    <w:rsid w:val="006D2BFC"/>
    <w:rsid w:val="006D3BE7"/>
    <w:rsid w:val="006D3F9D"/>
    <w:rsid w:val="006D4D50"/>
    <w:rsid w:val="006D549E"/>
    <w:rsid w:val="006D5892"/>
    <w:rsid w:val="006D5D63"/>
    <w:rsid w:val="006D5EAF"/>
    <w:rsid w:val="006D626F"/>
    <w:rsid w:val="006D689C"/>
    <w:rsid w:val="006E0415"/>
    <w:rsid w:val="006E0ABF"/>
    <w:rsid w:val="006E1612"/>
    <w:rsid w:val="006E1636"/>
    <w:rsid w:val="006E1682"/>
    <w:rsid w:val="006E19B9"/>
    <w:rsid w:val="006E3765"/>
    <w:rsid w:val="006E3AEC"/>
    <w:rsid w:val="006E4602"/>
    <w:rsid w:val="006E460C"/>
    <w:rsid w:val="006E5264"/>
    <w:rsid w:val="006E5396"/>
    <w:rsid w:val="006E54BF"/>
    <w:rsid w:val="006E57CC"/>
    <w:rsid w:val="006E582E"/>
    <w:rsid w:val="006E5D39"/>
    <w:rsid w:val="006E607B"/>
    <w:rsid w:val="006E656F"/>
    <w:rsid w:val="006E66AF"/>
    <w:rsid w:val="006E69DE"/>
    <w:rsid w:val="006E707B"/>
    <w:rsid w:val="006E70A8"/>
    <w:rsid w:val="006E71E6"/>
    <w:rsid w:val="006E78EC"/>
    <w:rsid w:val="006E7EC7"/>
    <w:rsid w:val="006F070A"/>
    <w:rsid w:val="006F1246"/>
    <w:rsid w:val="006F1601"/>
    <w:rsid w:val="006F27FE"/>
    <w:rsid w:val="006F2BDB"/>
    <w:rsid w:val="006F3189"/>
    <w:rsid w:val="006F3387"/>
    <w:rsid w:val="006F3B82"/>
    <w:rsid w:val="006F4136"/>
    <w:rsid w:val="006F4B2E"/>
    <w:rsid w:val="006F51DC"/>
    <w:rsid w:val="006F53DF"/>
    <w:rsid w:val="006F5C42"/>
    <w:rsid w:val="006F639B"/>
    <w:rsid w:val="006F65CF"/>
    <w:rsid w:val="006F677A"/>
    <w:rsid w:val="006F6C96"/>
    <w:rsid w:val="006F6D5A"/>
    <w:rsid w:val="006F7001"/>
    <w:rsid w:val="007004CE"/>
    <w:rsid w:val="007008AA"/>
    <w:rsid w:val="00700B3F"/>
    <w:rsid w:val="00700DDC"/>
    <w:rsid w:val="0070138D"/>
    <w:rsid w:val="00701BDF"/>
    <w:rsid w:val="00702003"/>
    <w:rsid w:val="00702704"/>
    <w:rsid w:val="00702EF9"/>
    <w:rsid w:val="00703891"/>
    <w:rsid w:val="007039B1"/>
    <w:rsid w:val="00703F30"/>
    <w:rsid w:val="00703F8A"/>
    <w:rsid w:val="00704576"/>
    <w:rsid w:val="00705734"/>
    <w:rsid w:val="00705BB5"/>
    <w:rsid w:val="00705C4D"/>
    <w:rsid w:val="00705D1B"/>
    <w:rsid w:val="00706089"/>
    <w:rsid w:val="00706317"/>
    <w:rsid w:val="00706881"/>
    <w:rsid w:val="00706EC5"/>
    <w:rsid w:val="0070745C"/>
    <w:rsid w:val="00710007"/>
    <w:rsid w:val="00710102"/>
    <w:rsid w:val="007102B8"/>
    <w:rsid w:val="007106AE"/>
    <w:rsid w:val="00710795"/>
    <w:rsid w:val="00710A93"/>
    <w:rsid w:val="00711875"/>
    <w:rsid w:val="00711AAE"/>
    <w:rsid w:val="00711E00"/>
    <w:rsid w:val="00712CD5"/>
    <w:rsid w:val="00713000"/>
    <w:rsid w:val="00713341"/>
    <w:rsid w:val="00714186"/>
    <w:rsid w:val="0071424C"/>
    <w:rsid w:val="007144AF"/>
    <w:rsid w:val="0071450A"/>
    <w:rsid w:val="0071481E"/>
    <w:rsid w:val="0071555E"/>
    <w:rsid w:val="007167FC"/>
    <w:rsid w:val="007169D7"/>
    <w:rsid w:val="007173DA"/>
    <w:rsid w:val="00717669"/>
    <w:rsid w:val="00717716"/>
    <w:rsid w:val="00717B47"/>
    <w:rsid w:val="00717D62"/>
    <w:rsid w:val="0072057A"/>
    <w:rsid w:val="007205C5"/>
    <w:rsid w:val="007219F7"/>
    <w:rsid w:val="00721B32"/>
    <w:rsid w:val="00721BBB"/>
    <w:rsid w:val="00722029"/>
    <w:rsid w:val="00722383"/>
    <w:rsid w:val="00722493"/>
    <w:rsid w:val="007226BF"/>
    <w:rsid w:val="00722945"/>
    <w:rsid w:val="00722C1B"/>
    <w:rsid w:val="00722C29"/>
    <w:rsid w:val="00723316"/>
    <w:rsid w:val="00723499"/>
    <w:rsid w:val="00723CD4"/>
    <w:rsid w:val="0072437A"/>
    <w:rsid w:val="007246D9"/>
    <w:rsid w:val="007249C0"/>
    <w:rsid w:val="00724B4B"/>
    <w:rsid w:val="00724CDD"/>
    <w:rsid w:val="00724DCC"/>
    <w:rsid w:val="00724EB7"/>
    <w:rsid w:val="00725E0E"/>
    <w:rsid w:val="0073079B"/>
    <w:rsid w:val="00730F21"/>
    <w:rsid w:val="00730F67"/>
    <w:rsid w:val="007317CD"/>
    <w:rsid w:val="00731F47"/>
    <w:rsid w:val="007323CC"/>
    <w:rsid w:val="007329E6"/>
    <w:rsid w:val="00733108"/>
    <w:rsid w:val="007331CB"/>
    <w:rsid w:val="00733648"/>
    <w:rsid w:val="00733F30"/>
    <w:rsid w:val="00735285"/>
    <w:rsid w:val="00735626"/>
    <w:rsid w:val="00735735"/>
    <w:rsid w:val="00735E99"/>
    <w:rsid w:val="00735F36"/>
    <w:rsid w:val="007364D1"/>
    <w:rsid w:val="00736D82"/>
    <w:rsid w:val="00737862"/>
    <w:rsid w:val="00737982"/>
    <w:rsid w:val="0074049E"/>
    <w:rsid w:val="00740703"/>
    <w:rsid w:val="00740761"/>
    <w:rsid w:val="00740F4D"/>
    <w:rsid w:val="00741087"/>
    <w:rsid w:val="00741955"/>
    <w:rsid w:val="00742579"/>
    <w:rsid w:val="00742B2D"/>
    <w:rsid w:val="00742C8A"/>
    <w:rsid w:val="00742EDC"/>
    <w:rsid w:val="00742F32"/>
    <w:rsid w:val="00743997"/>
    <w:rsid w:val="0074443B"/>
    <w:rsid w:val="007449AE"/>
    <w:rsid w:val="00745172"/>
    <w:rsid w:val="00745175"/>
    <w:rsid w:val="007468ED"/>
    <w:rsid w:val="00746DF7"/>
    <w:rsid w:val="00746E2A"/>
    <w:rsid w:val="00747149"/>
    <w:rsid w:val="00747EEF"/>
    <w:rsid w:val="00750676"/>
    <w:rsid w:val="0075153D"/>
    <w:rsid w:val="00752141"/>
    <w:rsid w:val="0075297D"/>
    <w:rsid w:val="00752A3B"/>
    <w:rsid w:val="00752CD0"/>
    <w:rsid w:val="007534E2"/>
    <w:rsid w:val="007540DA"/>
    <w:rsid w:val="0075436D"/>
    <w:rsid w:val="00754371"/>
    <w:rsid w:val="00754A88"/>
    <w:rsid w:val="00754B02"/>
    <w:rsid w:val="00754CC3"/>
    <w:rsid w:val="00754F8A"/>
    <w:rsid w:val="007554AA"/>
    <w:rsid w:val="00756523"/>
    <w:rsid w:val="007565AE"/>
    <w:rsid w:val="007573ED"/>
    <w:rsid w:val="00757A8D"/>
    <w:rsid w:val="00757F73"/>
    <w:rsid w:val="007601F9"/>
    <w:rsid w:val="00761706"/>
    <w:rsid w:val="007619E4"/>
    <w:rsid w:val="00761DF9"/>
    <w:rsid w:val="00761E80"/>
    <w:rsid w:val="00761FFE"/>
    <w:rsid w:val="0076204A"/>
    <w:rsid w:val="00762350"/>
    <w:rsid w:val="00762A0D"/>
    <w:rsid w:val="0076345C"/>
    <w:rsid w:val="007636F1"/>
    <w:rsid w:val="00763C3E"/>
    <w:rsid w:val="00764271"/>
    <w:rsid w:val="0076427A"/>
    <w:rsid w:val="00764322"/>
    <w:rsid w:val="007644C1"/>
    <w:rsid w:val="00765B61"/>
    <w:rsid w:val="0076602B"/>
    <w:rsid w:val="0076686F"/>
    <w:rsid w:val="00766CBE"/>
    <w:rsid w:val="00766D99"/>
    <w:rsid w:val="00766EAE"/>
    <w:rsid w:val="00767241"/>
    <w:rsid w:val="00767584"/>
    <w:rsid w:val="007676A8"/>
    <w:rsid w:val="00767983"/>
    <w:rsid w:val="00767E41"/>
    <w:rsid w:val="00767EE6"/>
    <w:rsid w:val="00770881"/>
    <w:rsid w:val="00770919"/>
    <w:rsid w:val="00770E9B"/>
    <w:rsid w:val="00771037"/>
    <w:rsid w:val="00771301"/>
    <w:rsid w:val="007713C4"/>
    <w:rsid w:val="00771991"/>
    <w:rsid w:val="00771DE2"/>
    <w:rsid w:val="00771F64"/>
    <w:rsid w:val="0077291F"/>
    <w:rsid w:val="00772923"/>
    <w:rsid w:val="00772A8D"/>
    <w:rsid w:val="00772B94"/>
    <w:rsid w:val="0077315E"/>
    <w:rsid w:val="00773D88"/>
    <w:rsid w:val="00773D92"/>
    <w:rsid w:val="00774ADF"/>
    <w:rsid w:val="00774B01"/>
    <w:rsid w:val="007754F2"/>
    <w:rsid w:val="0077586D"/>
    <w:rsid w:val="00775F57"/>
    <w:rsid w:val="00776DA1"/>
    <w:rsid w:val="00777852"/>
    <w:rsid w:val="00780ADC"/>
    <w:rsid w:val="00780C15"/>
    <w:rsid w:val="00781914"/>
    <w:rsid w:val="00781CAB"/>
    <w:rsid w:val="00782ACB"/>
    <w:rsid w:val="00782EE9"/>
    <w:rsid w:val="00783477"/>
    <w:rsid w:val="00783B5E"/>
    <w:rsid w:val="00784066"/>
    <w:rsid w:val="007844A8"/>
    <w:rsid w:val="007845FA"/>
    <w:rsid w:val="00784C50"/>
    <w:rsid w:val="0078614B"/>
    <w:rsid w:val="00786239"/>
    <w:rsid w:val="0078640E"/>
    <w:rsid w:val="007865A9"/>
    <w:rsid w:val="0078696B"/>
    <w:rsid w:val="00786D9B"/>
    <w:rsid w:val="0078769F"/>
    <w:rsid w:val="00787DE9"/>
    <w:rsid w:val="00787EF2"/>
    <w:rsid w:val="00790D39"/>
    <w:rsid w:val="00791079"/>
    <w:rsid w:val="00791452"/>
    <w:rsid w:val="0079148B"/>
    <w:rsid w:val="00793200"/>
    <w:rsid w:val="0079388E"/>
    <w:rsid w:val="00793A9A"/>
    <w:rsid w:val="00793BB7"/>
    <w:rsid w:val="00793C31"/>
    <w:rsid w:val="0079408D"/>
    <w:rsid w:val="007942CB"/>
    <w:rsid w:val="0079492A"/>
    <w:rsid w:val="00794F47"/>
    <w:rsid w:val="00794F96"/>
    <w:rsid w:val="00795185"/>
    <w:rsid w:val="007953FB"/>
    <w:rsid w:val="0079542C"/>
    <w:rsid w:val="00795894"/>
    <w:rsid w:val="00795A0A"/>
    <w:rsid w:val="00796441"/>
    <w:rsid w:val="00796EA7"/>
    <w:rsid w:val="0079719A"/>
    <w:rsid w:val="007971C7"/>
    <w:rsid w:val="00797C5A"/>
    <w:rsid w:val="007A03F4"/>
    <w:rsid w:val="007A0883"/>
    <w:rsid w:val="007A0ECD"/>
    <w:rsid w:val="007A140D"/>
    <w:rsid w:val="007A1DA3"/>
    <w:rsid w:val="007A2345"/>
    <w:rsid w:val="007A3242"/>
    <w:rsid w:val="007A3442"/>
    <w:rsid w:val="007A3625"/>
    <w:rsid w:val="007A3868"/>
    <w:rsid w:val="007A3E56"/>
    <w:rsid w:val="007A46AB"/>
    <w:rsid w:val="007A4AD4"/>
    <w:rsid w:val="007A5155"/>
    <w:rsid w:val="007A51BD"/>
    <w:rsid w:val="007A5F98"/>
    <w:rsid w:val="007A6813"/>
    <w:rsid w:val="007A6C19"/>
    <w:rsid w:val="007A6F25"/>
    <w:rsid w:val="007A6F5A"/>
    <w:rsid w:val="007A7C3E"/>
    <w:rsid w:val="007B016E"/>
    <w:rsid w:val="007B062C"/>
    <w:rsid w:val="007B06E9"/>
    <w:rsid w:val="007B109D"/>
    <w:rsid w:val="007B11AD"/>
    <w:rsid w:val="007B1B23"/>
    <w:rsid w:val="007B1F34"/>
    <w:rsid w:val="007B212F"/>
    <w:rsid w:val="007B3081"/>
    <w:rsid w:val="007B3310"/>
    <w:rsid w:val="007B3BF7"/>
    <w:rsid w:val="007B3EDD"/>
    <w:rsid w:val="007B4F3E"/>
    <w:rsid w:val="007B5209"/>
    <w:rsid w:val="007B568C"/>
    <w:rsid w:val="007B5DA8"/>
    <w:rsid w:val="007B6467"/>
    <w:rsid w:val="007B6B0E"/>
    <w:rsid w:val="007B6B82"/>
    <w:rsid w:val="007B6D32"/>
    <w:rsid w:val="007B6E97"/>
    <w:rsid w:val="007B7B94"/>
    <w:rsid w:val="007B7CA7"/>
    <w:rsid w:val="007B7F60"/>
    <w:rsid w:val="007C060C"/>
    <w:rsid w:val="007C09E0"/>
    <w:rsid w:val="007C0AE4"/>
    <w:rsid w:val="007C0EFE"/>
    <w:rsid w:val="007C11BD"/>
    <w:rsid w:val="007C1C46"/>
    <w:rsid w:val="007C21B7"/>
    <w:rsid w:val="007C28AE"/>
    <w:rsid w:val="007C29A7"/>
    <w:rsid w:val="007C2D04"/>
    <w:rsid w:val="007C2F39"/>
    <w:rsid w:val="007C34A5"/>
    <w:rsid w:val="007C41A2"/>
    <w:rsid w:val="007C45CC"/>
    <w:rsid w:val="007C4ED7"/>
    <w:rsid w:val="007C592A"/>
    <w:rsid w:val="007C598F"/>
    <w:rsid w:val="007C5DAF"/>
    <w:rsid w:val="007C61F0"/>
    <w:rsid w:val="007C62DB"/>
    <w:rsid w:val="007C68F9"/>
    <w:rsid w:val="007C6DEA"/>
    <w:rsid w:val="007C71C8"/>
    <w:rsid w:val="007C7555"/>
    <w:rsid w:val="007C75C3"/>
    <w:rsid w:val="007C77E5"/>
    <w:rsid w:val="007C7880"/>
    <w:rsid w:val="007C7BAE"/>
    <w:rsid w:val="007C7FEF"/>
    <w:rsid w:val="007D0062"/>
    <w:rsid w:val="007D072A"/>
    <w:rsid w:val="007D0A00"/>
    <w:rsid w:val="007D0ED5"/>
    <w:rsid w:val="007D0EF9"/>
    <w:rsid w:val="007D2753"/>
    <w:rsid w:val="007D29BC"/>
    <w:rsid w:val="007D3B16"/>
    <w:rsid w:val="007D3F9D"/>
    <w:rsid w:val="007D4B46"/>
    <w:rsid w:val="007D4C4F"/>
    <w:rsid w:val="007D4FE6"/>
    <w:rsid w:val="007D511C"/>
    <w:rsid w:val="007D5FD8"/>
    <w:rsid w:val="007D62F2"/>
    <w:rsid w:val="007D6AB4"/>
    <w:rsid w:val="007D7A14"/>
    <w:rsid w:val="007D7A8D"/>
    <w:rsid w:val="007D7EB7"/>
    <w:rsid w:val="007E0AC9"/>
    <w:rsid w:val="007E1315"/>
    <w:rsid w:val="007E15B2"/>
    <w:rsid w:val="007E1990"/>
    <w:rsid w:val="007E1B59"/>
    <w:rsid w:val="007E1D3A"/>
    <w:rsid w:val="007E2036"/>
    <w:rsid w:val="007E2056"/>
    <w:rsid w:val="007E23EA"/>
    <w:rsid w:val="007E2D0E"/>
    <w:rsid w:val="007E31A0"/>
    <w:rsid w:val="007E3759"/>
    <w:rsid w:val="007E431E"/>
    <w:rsid w:val="007E452B"/>
    <w:rsid w:val="007E4953"/>
    <w:rsid w:val="007E5771"/>
    <w:rsid w:val="007E5813"/>
    <w:rsid w:val="007E5FF0"/>
    <w:rsid w:val="007E608D"/>
    <w:rsid w:val="007E6628"/>
    <w:rsid w:val="007E67A0"/>
    <w:rsid w:val="007E6D4C"/>
    <w:rsid w:val="007E7219"/>
    <w:rsid w:val="007E795D"/>
    <w:rsid w:val="007E7BD6"/>
    <w:rsid w:val="007F09C4"/>
    <w:rsid w:val="007F0E87"/>
    <w:rsid w:val="007F14AB"/>
    <w:rsid w:val="007F14CB"/>
    <w:rsid w:val="007F154D"/>
    <w:rsid w:val="007F16EB"/>
    <w:rsid w:val="007F2115"/>
    <w:rsid w:val="007F2FDA"/>
    <w:rsid w:val="007F37B8"/>
    <w:rsid w:val="007F3D9F"/>
    <w:rsid w:val="007F4179"/>
    <w:rsid w:val="007F485A"/>
    <w:rsid w:val="007F57E7"/>
    <w:rsid w:val="007F5D4D"/>
    <w:rsid w:val="007F5DCD"/>
    <w:rsid w:val="007F5E19"/>
    <w:rsid w:val="007F61B6"/>
    <w:rsid w:val="007F630F"/>
    <w:rsid w:val="007F6EEE"/>
    <w:rsid w:val="007F6FC9"/>
    <w:rsid w:val="007F717A"/>
    <w:rsid w:val="007F7D5B"/>
    <w:rsid w:val="00800BCF"/>
    <w:rsid w:val="00800FAD"/>
    <w:rsid w:val="00801AC5"/>
    <w:rsid w:val="00801B32"/>
    <w:rsid w:val="00802C33"/>
    <w:rsid w:val="0080308B"/>
    <w:rsid w:val="00803A06"/>
    <w:rsid w:val="00803C7C"/>
    <w:rsid w:val="00803F94"/>
    <w:rsid w:val="00804074"/>
    <w:rsid w:val="00804125"/>
    <w:rsid w:val="00805AF1"/>
    <w:rsid w:val="00805B18"/>
    <w:rsid w:val="00806156"/>
    <w:rsid w:val="008069BC"/>
    <w:rsid w:val="00806BA6"/>
    <w:rsid w:val="00807998"/>
    <w:rsid w:val="00807C27"/>
    <w:rsid w:val="00807FC7"/>
    <w:rsid w:val="0081047A"/>
    <w:rsid w:val="008104A4"/>
    <w:rsid w:val="00811A9E"/>
    <w:rsid w:val="00812A80"/>
    <w:rsid w:val="00812F65"/>
    <w:rsid w:val="00813605"/>
    <w:rsid w:val="00813A29"/>
    <w:rsid w:val="0081423A"/>
    <w:rsid w:val="00814B54"/>
    <w:rsid w:val="00815579"/>
    <w:rsid w:val="00815586"/>
    <w:rsid w:val="00815745"/>
    <w:rsid w:val="00815A7F"/>
    <w:rsid w:val="00815AAC"/>
    <w:rsid w:val="00816162"/>
    <w:rsid w:val="00816325"/>
    <w:rsid w:val="008169BD"/>
    <w:rsid w:val="00816E8A"/>
    <w:rsid w:val="00817474"/>
    <w:rsid w:val="008179E6"/>
    <w:rsid w:val="00820269"/>
    <w:rsid w:val="00820502"/>
    <w:rsid w:val="00820A9F"/>
    <w:rsid w:val="00820B7C"/>
    <w:rsid w:val="00820DE0"/>
    <w:rsid w:val="00821084"/>
    <w:rsid w:val="00821156"/>
    <w:rsid w:val="008217EF"/>
    <w:rsid w:val="00821A80"/>
    <w:rsid w:val="00821DFB"/>
    <w:rsid w:val="008221E3"/>
    <w:rsid w:val="0082230D"/>
    <w:rsid w:val="008224D1"/>
    <w:rsid w:val="00822594"/>
    <w:rsid w:val="0082296E"/>
    <w:rsid w:val="00822B10"/>
    <w:rsid w:val="00822C3D"/>
    <w:rsid w:val="00822F34"/>
    <w:rsid w:val="00823447"/>
    <w:rsid w:val="008237C4"/>
    <w:rsid w:val="0082559E"/>
    <w:rsid w:val="00825865"/>
    <w:rsid w:val="00826107"/>
    <w:rsid w:val="00826323"/>
    <w:rsid w:val="008263DF"/>
    <w:rsid w:val="0082654F"/>
    <w:rsid w:val="00826CF4"/>
    <w:rsid w:val="008271F8"/>
    <w:rsid w:val="0082797C"/>
    <w:rsid w:val="008300DD"/>
    <w:rsid w:val="00830630"/>
    <w:rsid w:val="008317F4"/>
    <w:rsid w:val="008324DF"/>
    <w:rsid w:val="00832867"/>
    <w:rsid w:val="008328D7"/>
    <w:rsid w:val="00832AFA"/>
    <w:rsid w:val="00832B7D"/>
    <w:rsid w:val="008332D7"/>
    <w:rsid w:val="008335E0"/>
    <w:rsid w:val="00833C89"/>
    <w:rsid w:val="008341BF"/>
    <w:rsid w:val="00834330"/>
    <w:rsid w:val="00834B71"/>
    <w:rsid w:val="00834C53"/>
    <w:rsid w:val="0083547D"/>
    <w:rsid w:val="008359C6"/>
    <w:rsid w:val="00835B39"/>
    <w:rsid w:val="00837551"/>
    <w:rsid w:val="00837C08"/>
    <w:rsid w:val="00840335"/>
    <w:rsid w:val="008414A3"/>
    <w:rsid w:val="0084206B"/>
    <w:rsid w:val="00842D8B"/>
    <w:rsid w:val="008430FE"/>
    <w:rsid w:val="0084336B"/>
    <w:rsid w:val="00843817"/>
    <w:rsid w:val="00843A74"/>
    <w:rsid w:val="00844512"/>
    <w:rsid w:val="00844576"/>
    <w:rsid w:val="00844602"/>
    <w:rsid w:val="00845441"/>
    <w:rsid w:val="00845915"/>
    <w:rsid w:val="00846884"/>
    <w:rsid w:val="00847168"/>
    <w:rsid w:val="0084794E"/>
    <w:rsid w:val="00847DE5"/>
    <w:rsid w:val="008505A9"/>
    <w:rsid w:val="0085085C"/>
    <w:rsid w:val="00850B94"/>
    <w:rsid w:val="008514E0"/>
    <w:rsid w:val="00852B5D"/>
    <w:rsid w:val="00852C0A"/>
    <w:rsid w:val="00852C64"/>
    <w:rsid w:val="0085303E"/>
    <w:rsid w:val="00853537"/>
    <w:rsid w:val="0085353A"/>
    <w:rsid w:val="0085371E"/>
    <w:rsid w:val="00853A02"/>
    <w:rsid w:val="00853C69"/>
    <w:rsid w:val="00854013"/>
    <w:rsid w:val="00854134"/>
    <w:rsid w:val="00854266"/>
    <w:rsid w:val="008554DA"/>
    <w:rsid w:val="00855B48"/>
    <w:rsid w:val="00855D22"/>
    <w:rsid w:val="00855F78"/>
    <w:rsid w:val="00856003"/>
    <w:rsid w:val="008563ED"/>
    <w:rsid w:val="00856A22"/>
    <w:rsid w:val="00856A8F"/>
    <w:rsid w:val="00856DA4"/>
    <w:rsid w:val="00856E10"/>
    <w:rsid w:val="008600FE"/>
    <w:rsid w:val="008605BE"/>
    <w:rsid w:val="0086133A"/>
    <w:rsid w:val="00861C1C"/>
    <w:rsid w:val="008627B0"/>
    <w:rsid w:val="00862A66"/>
    <w:rsid w:val="00862F5F"/>
    <w:rsid w:val="00863219"/>
    <w:rsid w:val="00863384"/>
    <w:rsid w:val="0086369B"/>
    <w:rsid w:val="00863B1A"/>
    <w:rsid w:val="00863F64"/>
    <w:rsid w:val="008642F9"/>
    <w:rsid w:val="00864841"/>
    <w:rsid w:val="00864A16"/>
    <w:rsid w:val="00864AE4"/>
    <w:rsid w:val="00864D18"/>
    <w:rsid w:val="00864E57"/>
    <w:rsid w:val="00864FBE"/>
    <w:rsid w:val="00865864"/>
    <w:rsid w:val="008659B0"/>
    <w:rsid w:val="00865F63"/>
    <w:rsid w:val="00867D3E"/>
    <w:rsid w:val="00867FA7"/>
    <w:rsid w:val="0087026B"/>
    <w:rsid w:val="00870B03"/>
    <w:rsid w:val="00870B38"/>
    <w:rsid w:val="0087211C"/>
    <w:rsid w:val="00872183"/>
    <w:rsid w:val="00873642"/>
    <w:rsid w:val="00873684"/>
    <w:rsid w:val="00873EC1"/>
    <w:rsid w:val="00874230"/>
    <w:rsid w:val="0087429C"/>
    <w:rsid w:val="00874508"/>
    <w:rsid w:val="00874DD9"/>
    <w:rsid w:val="008759CF"/>
    <w:rsid w:val="00875A66"/>
    <w:rsid w:val="00875EFA"/>
    <w:rsid w:val="0087660C"/>
    <w:rsid w:val="00876CA4"/>
    <w:rsid w:val="008771B1"/>
    <w:rsid w:val="00877C86"/>
    <w:rsid w:val="00877F15"/>
    <w:rsid w:val="008804E0"/>
    <w:rsid w:val="0088079C"/>
    <w:rsid w:val="00880BF1"/>
    <w:rsid w:val="008812A2"/>
    <w:rsid w:val="00881383"/>
    <w:rsid w:val="008824A1"/>
    <w:rsid w:val="0088255F"/>
    <w:rsid w:val="00882A1C"/>
    <w:rsid w:val="00882F9C"/>
    <w:rsid w:val="008839D5"/>
    <w:rsid w:val="00884210"/>
    <w:rsid w:val="00884647"/>
    <w:rsid w:val="00885567"/>
    <w:rsid w:val="008855D6"/>
    <w:rsid w:val="00885701"/>
    <w:rsid w:val="00885761"/>
    <w:rsid w:val="0088582D"/>
    <w:rsid w:val="008860C7"/>
    <w:rsid w:val="0088744F"/>
    <w:rsid w:val="00887601"/>
    <w:rsid w:val="0088761C"/>
    <w:rsid w:val="008876C2"/>
    <w:rsid w:val="0088770B"/>
    <w:rsid w:val="0088780A"/>
    <w:rsid w:val="0088789F"/>
    <w:rsid w:val="00887CBC"/>
    <w:rsid w:val="0089061F"/>
    <w:rsid w:val="00890641"/>
    <w:rsid w:val="00890AD0"/>
    <w:rsid w:val="00891D82"/>
    <w:rsid w:val="0089230D"/>
    <w:rsid w:val="00892A2B"/>
    <w:rsid w:val="008934A7"/>
    <w:rsid w:val="0089370C"/>
    <w:rsid w:val="00893A9A"/>
    <w:rsid w:val="00893EA8"/>
    <w:rsid w:val="00894103"/>
    <w:rsid w:val="00894C83"/>
    <w:rsid w:val="00894E42"/>
    <w:rsid w:val="008952C2"/>
    <w:rsid w:val="00895332"/>
    <w:rsid w:val="008957A8"/>
    <w:rsid w:val="00896508"/>
    <w:rsid w:val="0089650A"/>
    <w:rsid w:val="008965C9"/>
    <w:rsid w:val="00896AAB"/>
    <w:rsid w:val="008979C7"/>
    <w:rsid w:val="008A01F0"/>
    <w:rsid w:val="008A0452"/>
    <w:rsid w:val="008A0714"/>
    <w:rsid w:val="008A0F18"/>
    <w:rsid w:val="008A155C"/>
    <w:rsid w:val="008A2565"/>
    <w:rsid w:val="008A2EC0"/>
    <w:rsid w:val="008A2ECF"/>
    <w:rsid w:val="008A2FB6"/>
    <w:rsid w:val="008A308C"/>
    <w:rsid w:val="008A353E"/>
    <w:rsid w:val="008A46C1"/>
    <w:rsid w:val="008A4A92"/>
    <w:rsid w:val="008A4BBE"/>
    <w:rsid w:val="008A4DB7"/>
    <w:rsid w:val="008A54FE"/>
    <w:rsid w:val="008A7293"/>
    <w:rsid w:val="008A737A"/>
    <w:rsid w:val="008A75D1"/>
    <w:rsid w:val="008A796E"/>
    <w:rsid w:val="008B04CA"/>
    <w:rsid w:val="008B0702"/>
    <w:rsid w:val="008B0812"/>
    <w:rsid w:val="008B0A28"/>
    <w:rsid w:val="008B0EAF"/>
    <w:rsid w:val="008B15BF"/>
    <w:rsid w:val="008B1E8A"/>
    <w:rsid w:val="008B2756"/>
    <w:rsid w:val="008B2D44"/>
    <w:rsid w:val="008B303D"/>
    <w:rsid w:val="008B5079"/>
    <w:rsid w:val="008B5379"/>
    <w:rsid w:val="008B54E7"/>
    <w:rsid w:val="008B54E9"/>
    <w:rsid w:val="008B560D"/>
    <w:rsid w:val="008B592B"/>
    <w:rsid w:val="008B5E88"/>
    <w:rsid w:val="008B60D7"/>
    <w:rsid w:val="008B737C"/>
    <w:rsid w:val="008C0601"/>
    <w:rsid w:val="008C0888"/>
    <w:rsid w:val="008C09E6"/>
    <w:rsid w:val="008C1355"/>
    <w:rsid w:val="008C1AF2"/>
    <w:rsid w:val="008C22D6"/>
    <w:rsid w:val="008C2413"/>
    <w:rsid w:val="008C2869"/>
    <w:rsid w:val="008C2F76"/>
    <w:rsid w:val="008C30B7"/>
    <w:rsid w:val="008C3A94"/>
    <w:rsid w:val="008C3E37"/>
    <w:rsid w:val="008C4096"/>
    <w:rsid w:val="008C45A5"/>
    <w:rsid w:val="008C54AC"/>
    <w:rsid w:val="008C58D7"/>
    <w:rsid w:val="008C5C65"/>
    <w:rsid w:val="008C6042"/>
    <w:rsid w:val="008C6098"/>
    <w:rsid w:val="008C621F"/>
    <w:rsid w:val="008C6C97"/>
    <w:rsid w:val="008C6E69"/>
    <w:rsid w:val="008C76D9"/>
    <w:rsid w:val="008D0111"/>
    <w:rsid w:val="008D0159"/>
    <w:rsid w:val="008D0552"/>
    <w:rsid w:val="008D12CC"/>
    <w:rsid w:val="008D1A21"/>
    <w:rsid w:val="008D1CD1"/>
    <w:rsid w:val="008D2B74"/>
    <w:rsid w:val="008D325F"/>
    <w:rsid w:val="008D3A3A"/>
    <w:rsid w:val="008D3BC8"/>
    <w:rsid w:val="008D458C"/>
    <w:rsid w:val="008D46C4"/>
    <w:rsid w:val="008D46EA"/>
    <w:rsid w:val="008D473D"/>
    <w:rsid w:val="008D49DC"/>
    <w:rsid w:val="008D4C2B"/>
    <w:rsid w:val="008D4C55"/>
    <w:rsid w:val="008D4CE1"/>
    <w:rsid w:val="008D4DE2"/>
    <w:rsid w:val="008D549B"/>
    <w:rsid w:val="008D5532"/>
    <w:rsid w:val="008D57FE"/>
    <w:rsid w:val="008D5E74"/>
    <w:rsid w:val="008D6AB3"/>
    <w:rsid w:val="008D6D94"/>
    <w:rsid w:val="008D6E27"/>
    <w:rsid w:val="008D7415"/>
    <w:rsid w:val="008D7A59"/>
    <w:rsid w:val="008D7D8A"/>
    <w:rsid w:val="008E0228"/>
    <w:rsid w:val="008E0B30"/>
    <w:rsid w:val="008E0C79"/>
    <w:rsid w:val="008E1B23"/>
    <w:rsid w:val="008E1C8C"/>
    <w:rsid w:val="008E2811"/>
    <w:rsid w:val="008E28B4"/>
    <w:rsid w:val="008E30EF"/>
    <w:rsid w:val="008E3201"/>
    <w:rsid w:val="008E3AAD"/>
    <w:rsid w:val="008E3CF5"/>
    <w:rsid w:val="008E432C"/>
    <w:rsid w:val="008E46E5"/>
    <w:rsid w:val="008E48FB"/>
    <w:rsid w:val="008E498D"/>
    <w:rsid w:val="008E4FC9"/>
    <w:rsid w:val="008E54A0"/>
    <w:rsid w:val="008E5C3B"/>
    <w:rsid w:val="008E5EB9"/>
    <w:rsid w:val="008E5F4C"/>
    <w:rsid w:val="008E6338"/>
    <w:rsid w:val="008E7934"/>
    <w:rsid w:val="008E7C54"/>
    <w:rsid w:val="008F01A3"/>
    <w:rsid w:val="008F07ED"/>
    <w:rsid w:val="008F0CCC"/>
    <w:rsid w:val="008F0D87"/>
    <w:rsid w:val="008F107B"/>
    <w:rsid w:val="008F125F"/>
    <w:rsid w:val="008F1404"/>
    <w:rsid w:val="008F1FF3"/>
    <w:rsid w:val="008F2140"/>
    <w:rsid w:val="008F28A6"/>
    <w:rsid w:val="008F3022"/>
    <w:rsid w:val="008F31FA"/>
    <w:rsid w:val="008F3317"/>
    <w:rsid w:val="008F34BD"/>
    <w:rsid w:val="008F3794"/>
    <w:rsid w:val="008F3B04"/>
    <w:rsid w:val="008F3DFD"/>
    <w:rsid w:val="008F4D62"/>
    <w:rsid w:val="008F4F5E"/>
    <w:rsid w:val="008F5079"/>
    <w:rsid w:val="008F53B6"/>
    <w:rsid w:val="008F57A1"/>
    <w:rsid w:val="008F5B9A"/>
    <w:rsid w:val="008F5CAD"/>
    <w:rsid w:val="008F5E52"/>
    <w:rsid w:val="008F60A7"/>
    <w:rsid w:val="008F614F"/>
    <w:rsid w:val="008F7331"/>
    <w:rsid w:val="008F7A1C"/>
    <w:rsid w:val="008F7FF5"/>
    <w:rsid w:val="0090040A"/>
    <w:rsid w:val="0090086B"/>
    <w:rsid w:val="00900DF0"/>
    <w:rsid w:val="00900E66"/>
    <w:rsid w:val="009017B7"/>
    <w:rsid w:val="00901CEF"/>
    <w:rsid w:val="0090210D"/>
    <w:rsid w:val="00902CED"/>
    <w:rsid w:val="00903038"/>
    <w:rsid w:val="00903342"/>
    <w:rsid w:val="0090338C"/>
    <w:rsid w:val="00903883"/>
    <w:rsid w:val="00903FA4"/>
    <w:rsid w:val="00904066"/>
    <w:rsid w:val="00904182"/>
    <w:rsid w:val="00904B0A"/>
    <w:rsid w:val="00904CD3"/>
    <w:rsid w:val="00904FD2"/>
    <w:rsid w:val="009058E9"/>
    <w:rsid w:val="00905C47"/>
    <w:rsid w:val="00906819"/>
    <w:rsid w:val="009074B2"/>
    <w:rsid w:val="00907CAF"/>
    <w:rsid w:val="0091036A"/>
    <w:rsid w:val="00910761"/>
    <w:rsid w:val="00910D9B"/>
    <w:rsid w:val="00910FA4"/>
    <w:rsid w:val="0091106B"/>
    <w:rsid w:val="00912B45"/>
    <w:rsid w:val="009131D4"/>
    <w:rsid w:val="009139C6"/>
    <w:rsid w:val="00913A3B"/>
    <w:rsid w:val="00914104"/>
    <w:rsid w:val="00914746"/>
    <w:rsid w:val="00914B60"/>
    <w:rsid w:val="00914EF2"/>
    <w:rsid w:val="009158E5"/>
    <w:rsid w:val="00915BEE"/>
    <w:rsid w:val="00915C51"/>
    <w:rsid w:val="00915C61"/>
    <w:rsid w:val="00915D45"/>
    <w:rsid w:val="00915F52"/>
    <w:rsid w:val="00916ECD"/>
    <w:rsid w:val="0091716E"/>
    <w:rsid w:val="0091726E"/>
    <w:rsid w:val="0091790E"/>
    <w:rsid w:val="00920F4C"/>
    <w:rsid w:val="00920FC3"/>
    <w:rsid w:val="009210AD"/>
    <w:rsid w:val="009212DE"/>
    <w:rsid w:val="00921E19"/>
    <w:rsid w:val="00921F5C"/>
    <w:rsid w:val="009229A6"/>
    <w:rsid w:val="00922D43"/>
    <w:rsid w:val="00922FF5"/>
    <w:rsid w:val="00923298"/>
    <w:rsid w:val="009235C3"/>
    <w:rsid w:val="00923DBA"/>
    <w:rsid w:val="00924776"/>
    <w:rsid w:val="0092481F"/>
    <w:rsid w:val="00924D95"/>
    <w:rsid w:val="00925164"/>
    <w:rsid w:val="009252DB"/>
    <w:rsid w:val="0092542C"/>
    <w:rsid w:val="009254EF"/>
    <w:rsid w:val="00925E8B"/>
    <w:rsid w:val="00925FDC"/>
    <w:rsid w:val="0092644F"/>
    <w:rsid w:val="009275AC"/>
    <w:rsid w:val="009275BA"/>
    <w:rsid w:val="00930A62"/>
    <w:rsid w:val="00931736"/>
    <w:rsid w:val="00931CB9"/>
    <w:rsid w:val="00931E71"/>
    <w:rsid w:val="0093208F"/>
    <w:rsid w:val="00932A16"/>
    <w:rsid w:val="00932AB8"/>
    <w:rsid w:val="00932EA9"/>
    <w:rsid w:val="00933119"/>
    <w:rsid w:val="00934073"/>
    <w:rsid w:val="0093411D"/>
    <w:rsid w:val="00934A69"/>
    <w:rsid w:val="00934DD9"/>
    <w:rsid w:val="00935178"/>
    <w:rsid w:val="009357DF"/>
    <w:rsid w:val="009359B6"/>
    <w:rsid w:val="00935B3A"/>
    <w:rsid w:val="00935F61"/>
    <w:rsid w:val="00936204"/>
    <w:rsid w:val="0093645A"/>
    <w:rsid w:val="00936AE3"/>
    <w:rsid w:val="00937E51"/>
    <w:rsid w:val="00940117"/>
    <w:rsid w:val="009402B1"/>
    <w:rsid w:val="0094078C"/>
    <w:rsid w:val="00940A12"/>
    <w:rsid w:val="00940C05"/>
    <w:rsid w:val="00941630"/>
    <w:rsid w:val="00941668"/>
    <w:rsid w:val="00941BC3"/>
    <w:rsid w:val="009420DC"/>
    <w:rsid w:val="00942206"/>
    <w:rsid w:val="0094286A"/>
    <w:rsid w:val="00942BA2"/>
    <w:rsid w:val="009432F9"/>
    <w:rsid w:val="00943408"/>
    <w:rsid w:val="00944689"/>
    <w:rsid w:val="00944DA2"/>
    <w:rsid w:val="00945273"/>
    <w:rsid w:val="009454EB"/>
    <w:rsid w:val="00945703"/>
    <w:rsid w:val="0094625E"/>
    <w:rsid w:val="009469B9"/>
    <w:rsid w:val="00946B4C"/>
    <w:rsid w:val="009470EB"/>
    <w:rsid w:val="00947152"/>
    <w:rsid w:val="00947959"/>
    <w:rsid w:val="00947D2A"/>
    <w:rsid w:val="00950143"/>
    <w:rsid w:val="00951944"/>
    <w:rsid w:val="00951BB0"/>
    <w:rsid w:val="00952050"/>
    <w:rsid w:val="00952488"/>
    <w:rsid w:val="00952700"/>
    <w:rsid w:val="00952780"/>
    <w:rsid w:val="009527A6"/>
    <w:rsid w:val="0095290B"/>
    <w:rsid w:val="00953379"/>
    <w:rsid w:val="009535ED"/>
    <w:rsid w:val="00953726"/>
    <w:rsid w:val="00953899"/>
    <w:rsid w:val="00953DB3"/>
    <w:rsid w:val="00954AAD"/>
    <w:rsid w:val="00955ABA"/>
    <w:rsid w:val="0095653C"/>
    <w:rsid w:val="00956C59"/>
    <w:rsid w:val="00956F6E"/>
    <w:rsid w:val="00956FA9"/>
    <w:rsid w:val="00957239"/>
    <w:rsid w:val="009573BD"/>
    <w:rsid w:val="00957405"/>
    <w:rsid w:val="00957D64"/>
    <w:rsid w:val="00960028"/>
    <w:rsid w:val="009600DD"/>
    <w:rsid w:val="00960966"/>
    <w:rsid w:val="00960A1E"/>
    <w:rsid w:val="00961B71"/>
    <w:rsid w:val="00963047"/>
    <w:rsid w:val="0096343B"/>
    <w:rsid w:val="009635FD"/>
    <w:rsid w:val="009638A8"/>
    <w:rsid w:val="00963A7A"/>
    <w:rsid w:val="00964AA7"/>
    <w:rsid w:val="00964E1D"/>
    <w:rsid w:val="0096531F"/>
    <w:rsid w:val="009653FA"/>
    <w:rsid w:val="009656E0"/>
    <w:rsid w:val="009659AD"/>
    <w:rsid w:val="00965BA5"/>
    <w:rsid w:val="00965BD2"/>
    <w:rsid w:val="00965BE3"/>
    <w:rsid w:val="00965CE6"/>
    <w:rsid w:val="00966063"/>
    <w:rsid w:val="0096741E"/>
    <w:rsid w:val="00967D0A"/>
    <w:rsid w:val="00967FF5"/>
    <w:rsid w:val="00970605"/>
    <w:rsid w:val="00970CDF"/>
    <w:rsid w:val="009713D2"/>
    <w:rsid w:val="009720FC"/>
    <w:rsid w:val="00972685"/>
    <w:rsid w:val="00972A70"/>
    <w:rsid w:val="009733CC"/>
    <w:rsid w:val="0097356A"/>
    <w:rsid w:val="0097393F"/>
    <w:rsid w:val="0097475D"/>
    <w:rsid w:val="00974776"/>
    <w:rsid w:val="009752C5"/>
    <w:rsid w:val="00975C09"/>
    <w:rsid w:val="00976284"/>
    <w:rsid w:val="0097768A"/>
    <w:rsid w:val="0097772C"/>
    <w:rsid w:val="009779D2"/>
    <w:rsid w:val="00980260"/>
    <w:rsid w:val="00980CE0"/>
    <w:rsid w:val="00980EB2"/>
    <w:rsid w:val="009812D7"/>
    <w:rsid w:val="009815F5"/>
    <w:rsid w:val="0098179D"/>
    <w:rsid w:val="00981E78"/>
    <w:rsid w:val="0098200A"/>
    <w:rsid w:val="0098221F"/>
    <w:rsid w:val="00982267"/>
    <w:rsid w:val="00982D21"/>
    <w:rsid w:val="00982D75"/>
    <w:rsid w:val="00983704"/>
    <w:rsid w:val="00983C97"/>
    <w:rsid w:val="00983CEF"/>
    <w:rsid w:val="00984286"/>
    <w:rsid w:val="00984825"/>
    <w:rsid w:val="00984B20"/>
    <w:rsid w:val="009852A3"/>
    <w:rsid w:val="009855D5"/>
    <w:rsid w:val="009859ED"/>
    <w:rsid w:val="009861ED"/>
    <w:rsid w:val="00986B74"/>
    <w:rsid w:val="009874D4"/>
    <w:rsid w:val="00990AC5"/>
    <w:rsid w:val="00990EB2"/>
    <w:rsid w:val="00991FC4"/>
    <w:rsid w:val="0099217C"/>
    <w:rsid w:val="00992243"/>
    <w:rsid w:val="00992450"/>
    <w:rsid w:val="00992D5D"/>
    <w:rsid w:val="00992E86"/>
    <w:rsid w:val="00993B35"/>
    <w:rsid w:val="00993F9F"/>
    <w:rsid w:val="009940DF"/>
    <w:rsid w:val="0099460F"/>
    <w:rsid w:val="0099528A"/>
    <w:rsid w:val="009955F2"/>
    <w:rsid w:val="00995A48"/>
    <w:rsid w:val="009975DF"/>
    <w:rsid w:val="00997E37"/>
    <w:rsid w:val="00997EA0"/>
    <w:rsid w:val="00997EE3"/>
    <w:rsid w:val="009A01B3"/>
    <w:rsid w:val="009A0C69"/>
    <w:rsid w:val="009A0FC3"/>
    <w:rsid w:val="009A138B"/>
    <w:rsid w:val="009A1E33"/>
    <w:rsid w:val="009A2353"/>
    <w:rsid w:val="009A2C79"/>
    <w:rsid w:val="009A42A5"/>
    <w:rsid w:val="009A4D01"/>
    <w:rsid w:val="009A4E2A"/>
    <w:rsid w:val="009A4E6A"/>
    <w:rsid w:val="009A5106"/>
    <w:rsid w:val="009A5333"/>
    <w:rsid w:val="009A54AF"/>
    <w:rsid w:val="009A5ACF"/>
    <w:rsid w:val="009A5C41"/>
    <w:rsid w:val="009A66FD"/>
    <w:rsid w:val="009A6887"/>
    <w:rsid w:val="009A6F79"/>
    <w:rsid w:val="009A7389"/>
    <w:rsid w:val="009A76B8"/>
    <w:rsid w:val="009A794C"/>
    <w:rsid w:val="009A7F9C"/>
    <w:rsid w:val="009B02DB"/>
    <w:rsid w:val="009B0730"/>
    <w:rsid w:val="009B109B"/>
    <w:rsid w:val="009B149E"/>
    <w:rsid w:val="009B152E"/>
    <w:rsid w:val="009B15DC"/>
    <w:rsid w:val="009B297A"/>
    <w:rsid w:val="009B2D67"/>
    <w:rsid w:val="009B3558"/>
    <w:rsid w:val="009B36F8"/>
    <w:rsid w:val="009B3B4D"/>
    <w:rsid w:val="009B56C6"/>
    <w:rsid w:val="009B6008"/>
    <w:rsid w:val="009B61F5"/>
    <w:rsid w:val="009B622C"/>
    <w:rsid w:val="009B6699"/>
    <w:rsid w:val="009B6D56"/>
    <w:rsid w:val="009B6E96"/>
    <w:rsid w:val="009B721A"/>
    <w:rsid w:val="009B74E6"/>
    <w:rsid w:val="009B7A1E"/>
    <w:rsid w:val="009B7B88"/>
    <w:rsid w:val="009C1A0C"/>
    <w:rsid w:val="009C2253"/>
    <w:rsid w:val="009C2464"/>
    <w:rsid w:val="009C25B8"/>
    <w:rsid w:val="009C2831"/>
    <w:rsid w:val="009C2D13"/>
    <w:rsid w:val="009C369F"/>
    <w:rsid w:val="009C36F7"/>
    <w:rsid w:val="009C38BC"/>
    <w:rsid w:val="009C4D0F"/>
    <w:rsid w:val="009C50F2"/>
    <w:rsid w:val="009C6768"/>
    <w:rsid w:val="009C6FEF"/>
    <w:rsid w:val="009C7A6B"/>
    <w:rsid w:val="009C7D4F"/>
    <w:rsid w:val="009D07D6"/>
    <w:rsid w:val="009D124D"/>
    <w:rsid w:val="009D12DE"/>
    <w:rsid w:val="009D1751"/>
    <w:rsid w:val="009D1E4C"/>
    <w:rsid w:val="009D214D"/>
    <w:rsid w:val="009D224B"/>
    <w:rsid w:val="009D293C"/>
    <w:rsid w:val="009D30C3"/>
    <w:rsid w:val="009D50DB"/>
    <w:rsid w:val="009D5957"/>
    <w:rsid w:val="009D5AC8"/>
    <w:rsid w:val="009D5B14"/>
    <w:rsid w:val="009D5DB8"/>
    <w:rsid w:val="009D68D6"/>
    <w:rsid w:val="009D6946"/>
    <w:rsid w:val="009D6DBF"/>
    <w:rsid w:val="009D7647"/>
    <w:rsid w:val="009D78A3"/>
    <w:rsid w:val="009E16F3"/>
    <w:rsid w:val="009E19EE"/>
    <w:rsid w:val="009E1A26"/>
    <w:rsid w:val="009E20D7"/>
    <w:rsid w:val="009E2AE4"/>
    <w:rsid w:val="009E2E33"/>
    <w:rsid w:val="009E3115"/>
    <w:rsid w:val="009E31CD"/>
    <w:rsid w:val="009E3884"/>
    <w:rsid w:val="009E47C9"/>
    <w:rsid w:val="009E530A"/>
    <w:rsid w:val="009E57C4"/>
    <w:rsid w:val="009E667A"/>
    <w:rsid w:val="009E6DD1"/>
    <w:rsid w:val="009E782B"/>
    <w:rsid w:val="009E7FF0"/>
    <w:rsid w:val="009F01E1"/>
    <w:rsid w:val="009F047C"/>
    <w:rsid w:val="009F0569"/>
    <w:rsid w:val="009F1343"/>
    <w:rsid w:val="009F2796"/>
    <w:rsid w:val="009F2C73"/>
    <w:rsid w:val="009F2E16"/>
    <w:rsid w:val="009F2F72"/>
    <w:rsid w:val="009F314F"/>
    <w:rsid w:val="009F3511"/>
    <w:rsid w:val="009F4299"/>
    <w:rsid w:val="009F48E5"/>
    <w:rsid w:val="009F4ADE"/>
    <w:rsid w:val="009F4DD3"/>
    <w:rsid w:val="009F4F84"/>
    <w:rsid w:val="009F5D3F"/>
    <w:rsid w:val="009F5FA0"/>
    <w:rsid w:val="009F642A"/>
    <w:rsid w:val="009F64CA"/>
    <w:rsid w:val="009F64ED"/>
    <w:rsid w:val="009F7097"/>
    <w:rsid w:val="009F71A0"/>
    <w:rsid w:val="00A00CEC"/>
    <w:rsid w:val="00A0129F"/>
    <w:rsid w:val="00A012E4"/>
    <w:rsid w:val="00A02001"/>
    <w:rsid w:val="00A02578"/>
    <w:rsid w:val="00A03354"/>
    <w:rsid w:val="00A036A5"/>
    <w:rsid w:val="00A044BA"/>
    <w:rsid w:val="00A047DC"/>
    <w:rsid w:val="00A05224"/>
    <w:rsid w:val="00A059E9"/>
    <w:rsid w:val="00A05F87"/>
    <w:rsid w:val="00A060D8"/>
    <w:rsid w:val="00A06153"/>
    <w:rsid w:val="00A06E91"/>
    <w:rsid w:val="00A06F0D"/>
    <w:rsid w:val="00A1045B"/>
    <w:rsid w:val="00A10460"/>
    <w:rsid w:val="00A10E95"/>
    <w:rsid w:val="00A1117A"/>
    <w:rsid w:val="00A1184E"/>
    <w:rsid w:val="00A11975"/>
    <w:rsid w:val="00A12368"/>
    <w:rsid w:val="00A123BB"/>
    <w:rsid w:val="00A1369E"/>
    <w:rsid w:val="00A13C42"/>
    <w:rsid w:val="00A13FBE"/>
    <w:rsid w:val="00A1427E"/>
    <w:rsid w:val="00A14546"/>
    <w:rsid w:val="00A1456C"/>
    <w:rsid w:val="00A14BD3"/>
    <w:rsid w:val="00A14F4F"/>
    <w:rsid w:val="00A15545"/>
    <w:rsid w:val="00A156DA"/>
    <w:rsid w:val="00A161A6"/>
    <w:rsid w:val="00A1622A"/>
    <w:rsid w:val="00A175B4"/>
    <w:rsid w:val="00A17C6A"/>
    <w:rsid w:val="00A202F6"/>
    <w:rsid w:val="00A20831"/>
    <w:rsid w:val="00A20A28"/>
    <w:rsid w:val="00A20E69"/>
    <w:rsid w:val="00A212FA"/>
    <w:rsid w:val="00A21549"/>
    <w:rsid w:val="00A21956"/>
    <w:rsid w:val="00A238C8"/>
    <w:rsid w:val="00A23AC7"/>
    <w:rsid w:val="00A23CFF"/>
    <w:rsid w:val="00A23DFE"/>
    <w:rsid w:val="00A253BA"/>
    <w:rsid w:val="00A254EE"/>
    <w:rsid w:val="00A25DB7"/>
    <w:rsid w:val="00A26B71"/>
    <w:rsid w:val="00A26EF8"/>
    <w:rsid w:val="00A2751D"/>
    <w:rsid w:val="00A27DC4"/>
    <w:rsid w:val="00A27E31"/>
    <w:rsid w:val="00A30472"/>
    <w:rsid w:val="00A3048D"/>
    <w:rsid w:val="00A3049B"/>
    <w:rsid w:val="00A3070A"/>
    <w:rsid w:val="00A30962"/>
    <w:rsid w:val="00A30E65"/>
    <w:rsid w:val="00A30FC0"/>
    <w:rsid w:val="00A31D07"/>
    <w:rsid w:val="00A32428"/>
    <w:rsid w:val="00A32485"/>
    <w:rsid w:val="00A32535"/>
    <w:rsid w:val="00A32F62"/>
    <w:rsid w:val="00A334A5"/>
    <w:rsid w:val="00A34174"/>
    <w:rsid w:val="00A344D4"/>
    <w:rsid w:val="00A346BA"/>
    <w:rsid w:val="00A346E6"/>
    <w:rsid w:val="00A3504E"/>
    <w:rsid w:val="00A350FE"/>
    <w:rsid w:val="00A352B0"/>
    <w:rsid w:val="00A354B0"/>
    <w:rsid w:val="00A35F36"/>
    <w:rsid w:val="00A35F7A"/>
    <w:rsid w:val="00A3689E"/>
    <w:rsid w:val="00A36AAF"/>
    <w:rsid w:val="00A36BB4"/>
    <w:rsid w:val="00A37A44"/>
    <w:rsid w:val="00A37B90"/>
    <w:rsid w:val="00A37C25"/>
    <w:rsid w:val="00A40604"/>
    <w:rsid w:val="00A40876"/>
    <w:rsid w:val="00A41198"/>
    <w:rsid w:val="00A4147B"/>
    <w:rsid w:val="00A41FAA"/>
    <w:rsid w:val="00A4288C"/>
    <w:rsid w:val="00A429B9"/>
    <w:rsid w:val="00A43457"/>
    <w:rsid w:val="00A444DB"/>
    <w:rsid w:val="00A448E6"/>
    <w:rsid w:val="00A461FC"/>
    <w:rsid w:val="00A4665C"/>
    <w:rsid w:val="00A46A62"/>
    <w:rsid w:val="00A46D71"/>
    <w:rsid w:val="00A47315"/>
    <w:rsid w:val="00A47BB6"/>
    <w:rsid w:val="00A50A6D"/>
    <w:rsid w:val="00A50DBC"/>
    <w:rsid w:val="00A51203"/>
    <w:rsid w:val="00A51318"/>
    <w:rsid w:val="00A51612"/>
    <w:rsid w:val="00A52472"/>
    <w:rsid w:val="00A52B05"/>
    <w:rsid w:val="00A52C5B"/>
    <w:rsid w:val="00A539EF"/>
    <w:rsid w:val="00A548C9"/>
    <w:rsid w:val="00A5497D"/>
    <w:rsid w:val="00A54BBB"/>
    <w:rsid w:val="00A54BD6"/>
    <w:rsid w:val="00A54CB6"/>
    <w:rsid w:val="00A552F7"/>
    <w:rsid w:val="00A55B37"/>
    <w:rsid w:val="00A564A7"/>
    <w:rsid w:val="00A564AE"/>
    <w:rsid w:val="00A569D2"/>
    <w:rsid w:val="00A571D4"/>
    <w:rsid w:val="00A57CF4"/>
    <w:rsid w:val="00A608D2"/>
    <w:rsid w:val="00A60F71"/>
    <w:rsid w:val="00A615E4"/>
    <w:rsid w:val="00A6179F"/>
    <w:rsid w:val="00A619D9"/>
    <w:rsid w:val="00A621BE"/>
    <w:rsid w:val="00A62385"/>
    <w:rsid w:val="00A624FA"/>
    <w:rsid w:val="00A63223"/>
    <w:rsid w:val="00A634F9"/>
    <w:rsid w:val="00A64410"/>
    <w:rsid w:val="00A65613"/>
    <w:rsid w:val="00A65889"/>
    <w:rsid w:val="00A659FF"/>
    <w:rsid w:val="00A662AA"/>
    <w:rsid w:val="00A66398"/>
    <w:rsid w:val="00A66A1E"/>
    <w:rsid w:val="00A66FF3"/>
    <w:rsid w:val="00A671EE"/>
    <w:rsid w:val="00A677F8"/>
    <w:rsid w:val="00A67A3C"/>
    <w:rsid w:val="00A67BF4"/>
    <w:rsid w:val="00A70C88"/>
    <w:rsid w:val="00A70D64"/>
    <w:rsid w:val="00A71171"/>
    <w:rsid w:val="00A716C1"/>
    <w:rsid w:val="00A7185D"/>
    <w:rsid w:val="00A719C1"/>
    <w:rsid w:val="00A71EA2"/>
    <w:rsid w:val="00A724D5"/>
    <w:rsid w:val="00A72525"/>
    <w:rsid w:val="00A72576"/>
    <w:rsid w:val="00A73B4C"/>
    <w:rsid w:val="00A74159"/>
    <w:rsid w:val="00A74481"/>
    <w:rsid w:val="00A74D77"/>
    <w:rsid w:val="00A74E37"/>
    <w:rsid w:val="00A74E53"/>
    <w:rsid w:val="00A750C8"/>
    <w:rsid w:val="00A75583"/>
    <w:rsid w:val="00A75894"/>
    <w:rsid w:val="00A758F9"/>
    <w:rsid w:val="00A760AE"/>
    <w:rsid w:val="00A761F2"/>
    <w:rsid w:val="00A763E4"/>
    <w:rsid w:val="00A7653E"/>
    <w:rsid w:val="00A771D9"/>
    <w:rsid w:val="00A7750F"/>
    <w:rsid w:val="00A7762D"/>
    <w:rsid w:val="00A77A91"/>
    <w:rsid w:val="00A77D40"/>
    <w:rsid w:val="00A77D47"/>
    <w:rsid w:val="00A803F7"/>
    <w:rsid w:val="00A805FD"/>
    <w:rsid w:val="00A80749"/>
    <w:rsid w:val="00A80DFC"/>
    <w:rsid w:val="00A80F5F"/>
    <w:rsid w:val="00A818F1"/>
    <w:rsid w:val="00A81C61"/>
    <w:rsid w:val="00A81F0A"/>
    <w:rsid w:val="00A82050"/>
    <w:rsid w:val="00A82A04"/>
    <w:rsid w:val="00A82D28"/>
    <w:rsid w:val="00A8357E"/>
    <w:rsid w:val="00A835EC"/>
    <w:rsid w:val="00A83701"/>
    <w:rsid w:val="00A83B2C"/>
    <w:rsid w:val="00A83E35"/>
    <w:rsid w:val="00A84033"/>
    <w:rsid w:val="00A8409A"/>
    <w:rsid w:val="00A843D3"/>
    <w:rsid w:val="00A84574"/>
    <w:rsid w:val="00A84590"/>
    <w:rsid w:val="00A84A32"/>
    <w:rsid w:val="00A8571B"/>
    <w:rsid w:val="00A858E1"/>
    <w:rsid w:val="00A85AAC"/>
    <w:rsid w:val="00A85AF1"/>
    <w:rsid w:val="00A85E54"/>
    <w:rsid w:val="00A860A3"/>
    <w:rsid w:val="00A8656C"/>
    <w:rsid w:val="00A86965"/>
    <w:rsid w:val="00A86D4F"/>
    <w:rsid w:val="00A870D2"/>
    <w:rsid w:val="00A878D5"/>
    <w:rsid w:val="00A87A23"/>
    <w:rsid w:val="00A902AD"/>
    <w:rsid w:val="00A90A72"/>
    <w:rsid w:val="00A90DE3"/>
    <w:rsid w:val="00A9106B"/>
    <w:rsid w:val="00A91110"/>
    <w:rsid w:val="00A9116A"/>
    <w:rsid w:val="00A916E1"/>
    <w:rsid w:val="00A9231B"/>
    <w:rsid w:val="00A92CF5"/>
    <w:rsid w:val="00A9385A"/>
    <w:rsid w:val="00A93C82"/>
    <w:rsid w:val="00A93FF5"/>
    <w:rsid w:val="00A942D3"/>
    <w:rsid w:val="00A943F5"/>
    <w:rsid w:val="00A946F2"/>
    <w:rsid w:val="00A96501"/>
    <w:rsid w:val="00A96FFC"/>
    <w:rsid w:val="00A976EA"/>
    <w:rsid w:val="00A97728"/>
    <w:rsid w:val="00A97755"/>
    <w:rsid w:val="00AA0256"/>
    <w:rsid w:val="00AA02D1"/>
    <w:rsid w:val="00AA07C6"/>
    <w:rsid w:val="00AA0F8E"/>
    <w:rsid w:val="00AA1254"/>
    <w:rsid w:val="00AA14AC"/>
    <w:rsid w:val="00AA14B0"/>
    <w:rsid w:val="00AA29A9"/>
    <w:rsid w:val="00AA3A44"/>
    <w:rsid w:val="00AA3EA0"/>
    <w:rsid w:val="00AA45FD"/>
    <w:rsid w:val="00AA4BCA"/>
    <w:rsid w:val="00AA518F"/>
    <w:rsid w:val="00AA580C"/>
    <w:rsid w:val="00AA5852"/>
    <w:rsid w:val="00AA5B13"/>
    <w:rsid w:val="00AA691C"/>
    <w:rsid w:val="00AA6A5F"/>
    <w:rsid w:val="00AA6ADF"/>
    <w:rsid w:val="00AA7091"/>
    <w:rsid w:val="00AA7616"/>
    <w:rsid w:val="00AA7D37"/>
    <w:rsid w:val="00AA7D53"/>
    <w:rsid w:val="00AB05D7"/>
    <w:rsid w:val="00AB08F6"/>
    <w:rsid w:val="00AB0CB7"/>
    <w:rsid w:val="00AB0E0C"/>
    <w:rsid w:val="00AB0F36"/>
    <w:rsid w:val="00AB1D5A"/>
    <w:rsid w:val="00AB1DC5"/>
    <w:rsid w:val="00AB2A3A"/>
    <w:rsid w:val="00AB2C05"/>
    <w:rsid w:val="00AB435C"/>
    <w:rsid w:val="00AB43EF"/>
    <w:rsid w:val="00AB4ABD"/>
    <w:rsid w:val="00AB4BCF"/>
    <w:rsid w:val="00AB4D92"/>
    <w:rsid w:val="00AB4D9C"/>
    <w:rsid w:val="00AB4EC9"/>
    <w:rsid w:val="00AB653E"/>
    <w:rsid w:val="00AB6670"/>
    <w:rsid w:val="00AB6D45"/>
    <w:rsid w:val="00AB6F6D"/>
    <w:rsid w:val="00AB7232"/>
    <w:rsid w:val="00AB7453"/>
    <w:rsid w:val="00AC116F"/>
    <w:rsid w:val="00AC177A"/>
    <w:rsid w:val="00AC2027"/>
    <w:rsid w:val="00AC289A"/>
    <w:rsid w:val="00AC2964"/>
    <w:rsid w:val="00AC2DCA"/>
    <w:rsid w:val="00AC2E14"/>
    <w:rsid w:val="00AC31BA"/>
    <w:rsid w:val="00AC32AC"/>
    <w:rsid w:val="00AC32C0"/>
    <w:rsid w:val="00AC34D2"/>
    <w:rsid w:val="00AC3D68"/>
    <w:rsid w:val="00AC49D2"/>
    <w:rsid w:val="00AC50BB"/>
    <w:rsid w:val="00AC5553"/>
    <w:rsid w:val="00AC5A2A"/>
    <w:rsid w:val="00AC6550"/>
    <w:rsid w:val="00AC6C2C"/>
    <w:rsid w:val="00AC6E3C"/>
    <w:rsid w:val="00AC7FD5"/>
    <w:rsid w:val="00AD094D"/>
    <w:rsid w:val="00AD0C78"/>
    <w:rsid w:val="00AD19C5"/>
    <w:rsid w:val="00AD1C3F"/>
    <w:rsid w:val="00AD1F20"/>
    <w:rsid w:val="00AD22F7"/>
    <w:rsid w:val="00AD2A3D"/>
    <w:rsid w:val="00AD2AF8"/>
    <w:rsid w:val="00AD34BB"/>
    <w:rsid w:val="00AD362F"/>
    <w:rsid w:val="00AD370E"/>
    <w:rsid w:val="00AD4777"/>
    <w:rsid w:val="00AD503F"/>
    <w:rsid w:val="00AD51D8"/>
    <w:rsid w:val="00AD52A7"/>
    <w:rsid w:val="00AD5691"/>
    <w:rsid w:val="00AD5CA7"/>
    <w:rsid w:val="00AD5CE3"/>
    <w:rsid w:val="00AD707B"/>
    <w:rsid w:val="00AD7935"/>
    <w:rsid w:val="00AE0276"/>
    <w:rsid w:val="00AE045F"/>
    <w:rsid w:val="00AE06B8"/>
    <w:rsid w:val="00AE0D9A"/>
    <w:rsid w:val="00AE0E2A"/>
    <w:rsid w:val="00AE1175"/>
    <w:rsid w:val="00AE14FB"/>
    <w:rsid w:val="00AE19A6"/>
    <w:rsid w:val="00AE211F"/>
    <w:rsid w:val="00AE2351"/>
    <w:rsid w:val="00AE2ACC"/>
    <w:rsid w:val="00AE3693"/>
    <w:rsid w:val="00AE44CC"/>
    <w:rsid w:val="00AE4BD2"/>
    <w:rsid w:val="00AE5154"/>
    <w:rsid w:val="00AE5DE8"/>
    <w:rsid w:val="00AE66E8"/>
    <w:rsid w:val="00AE673C"/>
    <w:rsid w:val="00AE67A9"/>
    <w:rsid w:val="00AE69C3"/>
    <w:rsid w:val="00AE71BB"/>
    <w:rsid w:val="00AE721A"/>
    <w:rsid w:val="00AE7821"/>
    <w:rsid w:val="00AE7A3D"/>
    <w:rsid w:val="00AE7B29"/>
    <w:rsid w:val="00AE7BD0"/>
    <w:rsid w:val="00AE7D97"/>
    <w:rsid w:val="00AF0076"/>
    <w:rsid w:val="00AF05C0"/>
    <w:rsid w:val="00AF0CB4"/>
    <w:rsid w:val="00AF0D42"/>
    <w:rsid w:val="00AF0E73"/>
    <w:rsid w:val="00AF0FA4"/>
    <w:rsid w:val="00AF10E3"/>
    <w:rsid w:val="00AF1328"/>
    <w:rsid w:val="00AF2590"/>
    <w:rsid w:val="00AF2704"/>
    <w:rsid w:val="00AF27C9"/>
    <w:rsid w:val="00AF314C"/>
    <w:rsid w:val="00AF3950"/>
    <w:rsid w:val="00AF3D01"/>
    <w:rsid w:val="00AF4204"/>
    <w:rsid w:val="00AF427D"/>
    <w:rsid w:val="00AF4555"/>
    <w:rsid w:val="00AF4E0A"/>
    <w:rsid w:val="00AF5085"/>
    <w:rsid w:val="00AF5201"/>
    <w:rsid w:val="00AF540E"/>
    <w:rsid w:val="00AF6423"/>
    <w:rsid w:val="00AF690A"/>
    <w:rsid w:val="00AF7071"/>
    <w:rsid w:val="00AF771C"/>
    <w:rsid w:val="00AF7A5F"/>
    <w:rsid w:val="00AF7C73"/>
    <w:rsid w:val="00B006FB"/>
    <w:rsid w:val="00B00B2A"/>
    <w:rsid w:val="00B01329"/>
    <w:rsid w:val="00B01577"/>
    <w:rsid w:val="00B01582"/>
    <w:rsid w:val="00B01E19"/>
    <w:rsid w:val="00B02494"/>
    <w:rsid w:val="00B02B84"/>
    <w:rsid w:val="00B02B9C"/>
    <w:rsid w:val="00B03055"/>
    <w:rsid w:val="00B03107"/>
    <w:rsid w:val="00B03203"/>
    <w:rsid w:val="00B039C5"/>
    <w:rsid w:val="00B03E8E"/>
    <w:rsid w:val="00B04696"/>
    <w:rsid w:val="00B06412"/>
    <w:rsid w:val="00B06B1E"/>
    <w:rsid w:val="00B07018"/>
    <w:rsid w:val="00B071A4"/>
    <w:rsid w:val="00B072B5"/>
    <w:rsid w:val="00B1098E"/>
    <w:rsid w:val="00B10BD8"/>
    <w:rsid w:val="00B10CE8"/>
    <w:rsid w:val="00B10F7D"/>
    <w:rsid w:val="00B11416"/>
    <w:rsid w:val="00B12048"/>
    <w:rsid w:val="00B1219D"/>
    <w:rsid w:val="00B12FD2"/>
    <w:rsid w:val="00B1314F"/>
    <w:rsid w:val="00B1335E"/>
    <w:rsid w:val="00B13D28"/>
    <w:rsid w:val="00B153B3"/>
    <w:rsid w:val="00B15404"/>
    <w:rsid w:val="00B15684"/>
    <w:rsid w:val="00B15903"/>
    <w:rsid w:val="00B16050"/>
    <w:rsid w:val="00B164F0"/>
    <w:rsid w:val="00B1656C"/>
    <w:rsid w:val="00B16656"/>
    <w:rsid w:val="00B16797"/>
    <w:rsid w:val="00B16AF1"/>
    <w:rsid w:val="00B16DF1"/>
    <w:rsid w:val="00B174DD"/>
    <w:rsid w:val="00B20005"/>
    <w:rsid w:val="00B20927"/>
    <w:rsid w:val="00B20AEA"/>
    <w:rsid w:val="00B216ED"/>
    <w:rsid w:val="00B22422"/>
    <w:rsid w:val="00B22622"/>
    <w:rsid w:val="00B2266E"/>
    <w:rsid w:val="00B22999"/>
    <w:rsid w:val="00B234CA"/>
    <w:rsid w:val="00B236D9"/>
    <w:rsid w:val="00B23743"/>
    <w:rsid w:val="00B23932"/>
    <w:rsid w:val="00B23D48"/>
    <w:rsid w:val="00B2502D"/>
    <w:rsid w:val="00B261C7"/>
    <w:rsid w:val="00B26399"/>
    <w:rsid w:val="00B263EB"/>
    <w:rsid w:val="00B2699D"/>
    <w:rsid w:val="00B26D57"/>
    <w:rsid w:val="00B274DF"/>
    <w:rsid w:val="00B279F5"/>
    <w:rsid w:val="00B30C9B"/>
    <w:rsid w:val="00B31BD8"/>
    <w:rsid w:val="00B31D9D"/>
    <w:rsid w:val="00B31F51"/>
    <w:rsid w:val="00B324B1"/>
    <w:rsid w:val="00B329FF"/>
    <w:rsid w:val="00B32B2A"/>
    <w:rsid w:val="00B32D76"/>
    <w:rsid w:val="00B32EDC"/>
    <w:rsid w:val="00B3382C"/>
    <w:rsid w:val="00B33F57"/>
    <w:rsid w:val="00B33FC7"/>
    <w:rsid w:val="00B340C8"/>
    <w:rsid w:val="00B3466E"/>
    <w:rsid w:val="00B34919"/>
    <w:rsid w:val="00B350E1"/>
    <w:rsid w:val="00B35417"/>
    <w:rsid w:val="00B35A4A"/>
    <w:rsid w:val="00B35CA1"/>
    <w:rsid w:val="00B3620B"/>
    <w:rsid w:val="00B3631E"/>
    <w:rsid w:val="00B3644D"/>
    <w:rsid w:val="00B367CD"/>
    <w:rsid w:val="00B36E0C"/>
    <w:rsid w:val="00B370DC"/>
    <w:rsid w:val="00B37B16"/>
    <w:rsid w:val="00B37EE9"/>
    <w:rsid w:val="00B40636"/>
    <w:rsid w:val="00B40762"/>
    <w:rsid w:val="00B40A41"/>
    <w:rsid w:val="00B40A6F"/>
    <w:rsid w:val="00B412B1"/>
    <w:rsid w:val="00B416DC"/>
    <w:rsid w:val="00B41DB2"/>
    <w:rsid w:val="00B42D44"/>
    <w:rsid w:val="00B43190"/>
    <w:rsid w:val="00B432C8"/>
    <w:rsid w:val="00B433E6"/>
    <w:rsid w:val="00B43AB3"/>
    <w:rsid w:val="00B43AD3"/>
    <w:rsid w:val="00B43AD8"/>
    <w:rsid w:val="00B43C61"/>
    <w:rsid w:val="00B45503"/>
    <w:rsid w:val="00B4568D"/>
    <w:rsid w:val="00B46671"/>
    <w:rsid w:val="00B46890"/>
    <w:rsid w:val="00B474E0"/>
    <w:rsid w:val="00B47574"/>
    <w:rsid w:val="00B47969"/>
    <w:rsid w:val="00B47978"/>
    <w:rsid w:val="00B50A50"/>
    <w:rsid w:val="00B50F0F"/>
    <w:rsid w:val="00B50F26"/>
    <w:rsid w:val="00B5147C"/>
    <w:rsid w:val="00B514E1"/>
    <w:rsid w:val="00B517FE"/>
    <w:rsid w:val="00B51FDE"/>
    <w:rsid w:val="00B5276C"/>
    <w:rsid w:val="00B527EC"/>
    <w:rsid w:val="00B52A66"/>
    <w:rsid w:val="00B52EE0"/>
    <w:rsid w:val="00B53275"/>
    <w:rsid w:val="00B537F4"/>
    <w:rsid w:val="00B53E49"/>
    <w:rsid w:val="00B545F2"/>
    <w:rsid w:val="00B5515C"/>
    <w:rsid w:val="00B5579A"/>
    <w:rsid w:val="00B565B1"/>
    <w:rsid w:val="00B56902"/>
    <w:rsid w:val="00B56E83"/>
    <w:rsid w:val="00B56FF6"/>
    <w:rsid w:val="00B602CF"/>
    <w:rsid w:val="00B607DF"/>
    <w:rsid w:val="00B60E60"/>
    <w:rsid w:val="00B616BA"/>
    <w:rsid w:val="00B618A0"/>
    <w:rsid w:val="00B61A9D"/>
    <w:rsid w:val="00B61B96"/>
    <w:rsid w:val="00B61E2E"/>
    <w:rsid w:val="00B62243"/>
    <w:rsid w:val="00B629E1"/>
    <w:rsid w:val="00B62E6A"/>
    <w:rsid w:val="00B62EE6"/>
    <w:rsid w:val="00B6379D"/>
    <w:rsid w:val="00B64332"/>
    <w:rsid w:val="00B647D7"/>
    <w:rsid w:val="00B64AFD"/>
    <w:rsid w:val="00B6511A"/>
    <w:rsid w:val="00B656E3"/>
    <w:rsid w:val="00B65B16"/>
    <w:rsid w:val="00B6630A"/>
    <w:rsid w:val="00B6656B"/>
    <w:rsid w:val="00B67392"/>
    <w:rsid w:val="00B675D6"/>
    <w:rsid w:val="00B6797A"/>
    <w:rsid w:val="00B67D48"/>
    <w:rsid w:val="00B67D4F"/>
    <w:rsid w:val="00B707FF"/>
    <w:rsid w:val="00B70C58"/>
    <w:rsid w:val="00B70E6D"/>
    <w:rsid w:val="00B720EE"/>
    <w:rsid w:val="00B731E7"/>
    <w:rsid w:val="00B73593"/>
    <w:rsid w:val="00B735A5"/>
    <w:rsid w:val="00B74C13"/>
    <w:rsid w:val="00B74CE6"/>
    <w:rsid w:val="00B75376"/>
    <w:rsid w:val="00B7587C"/>
    <w:rsid w:val="00B76190"/>
    <w:rsid w:val="00B76557"/>
    <w:rsid w:val="00B76580"/>
    <w:rsid w:val="00B76DFD"/>
    <w:rsid w:val="00B76F49"/>
    <w:rsid w:val="00B7761C"/>
    <w:rsid w:val="00B7793C"/>
    <w:rsid w:val="00B77E9D"/>
    <w:rsid w:val="00B80233"/>
    <w:rsid w:val="00B80342"/>
    <w:rsid w:val="00B80570"/>
    <w:rsid w:val="00B80617"/>
    <w:rsid w:val="00B80F96"/>
    <w:rsid w:val="00B811BE"/>
    <w:rsid w:val="00B813EE"/>
    <w:rsid w:val="00B81F48"/>
    <w:rsid w:val="00B83713"/>
    <w:rsid w:val="00B8375D"/>
    <w:rsid w:val="00B840B1"/>
    <w:rsid w:val="00B843D3"/>
    <w:rsid w:val="00B8475E"/>
    <w:rsid w:val="00B84A96"/>
    <w:rsid w:val="00B84C1C"/>
    <w:rsid w:val="00B84F84"/>
    <w:rsid w:val="00B850C1"/>
    <w:rsid w:val="00B85ED2"/>
    <w:rsid w:val="00B863BF"/>
    <w:rsid w:val="00B86516"/>
    <w:rsid w:val="00B8678A"/>
    <w:rsid w:val="00B87454"/>
    <w:rsid w:val="00B876FB"/>
    <w:rsid w:val="00B87A0D"/>
    <w:rsid w:val="00B87F0C"/>
    <w:rsid w:val="00B91C6F"/>
    <w:rsid w:val="00B92598"/>
    <w:rsid w:val="00B92700"/>
    <w:rsid w:val="00B937CB"/>
    <w:rsid w:val="00B9384D"/>
    <w:rsid w:val="00B93BBE"/>
    <w:rsid w:val="00B93D64"/>
    <w:rsid w:val="00B94983"/>
    <w:rsid w:val="00B953C9"/>
    <w:rsid w:val="00B960A9"/>
    <w:rsid w:val="00B963C0"/>
    <w:rsid w:val="00B96B9C"/>
    <w:rsid w:val="00B974AD"/>
    <w:rsid w:val="00B97966"/>
    <w:rsid w:val="00B97BEA"/>
    <w:rsid w:val="00BA147B"/>
    <w:rsid w:val="00BA178C"/>
    <w:rsid w:val="00BA2415"/>
    <w:rsid w:val="00BA3A98"/>
    <w:rsid w:val="00BA3A9D"/>
    <w:rsid w:val="00BA40E4"/>
    <w:rsid w:val="00BA4514"/>
    <w:rsid w:val="00BA5F19"/>
    <w:rsid w:val="00BA634C"/>
    <w:rsid w:val="00BA64E6"/>
    <w:rsid w:val="00BA670C"/>
    <w:rsid w:val="00BA68DA"/>
    <w:rsid w:val="00BA737C"/>
    <w:rsid w:val="00BA785A"/>
    <w:rsid w:val="00BA78E3"/>
    <w:rsid w:val="00BB0669"/>
    <w:rsid w:val="00BB0ACC"/>
    <w:rsid w:val="00BB0B9D"/>
    <w:rsid w:val="00BB0F0E"/>
    <w:rsid w:val="00BB0FD8"/>
    <w:rsid w:val="00BB155C"/>
    <w:rsid w:val="00BB1CB0"/>
    <w:rsid w:val="00BB25F8"/>
    <w:rsid w:val="00BB3055"/>
    <w:rsid w:val="00BB4071"/>
    <w:rsid w:val="00BB4127"/>
    <w:rsid w:val="00BB414E"/>
    <w:rsid w:val="00BB4A45"/>
    <w:rsid w:val="00BB4F08"/>
    <w:rsid w:val="00BB559A"/>
    <w:rsid w:val="00BB5BD3"/>
    <w:rsid w:val="00BB5E74"/>
    <w:rsid w:val="00BB62B0"/>
    <w:rsid w:val="00BB63C1"/>
    <w:rsid w:val="00BB7351"/>
    <w:rsid w:val="00BB7399"/>
    <w:rsid w:val="00BB74B0"/>
    <w:rsid w:val="00BB77FA"/>
    <w:rsid w:val="00BB7CA7"/>
    <w:rsid w:val="00BB7D0C"/>
    <w:rsid w:val="00BC0018"/>
    <w:rsid w:val="00BC00E1"/>
    <w:rsid w:val="00BC06FF"/>
    <w:rsid w:val="00BC1AB3"/>
    <w:rsid w:val="00BC1D3D"/>
    <w:rsid w:val="00BC1E29"/>
    <w:rsid w:val="00BC2A4C"/>
    <w:rsid w:val="00BC2DB7"/>
    <w:rsid w:val="00BC3554"/>
    <w:rsid w:val="00BC3676"/>
    <w:rsid w:val="00BC37E7"/>
    <w:rsid w:val="00BC46D5"/>
    <w:rsid w:val="00BC4E5C"/>
    <w:rsid w:val="00BC4FDC"/>
    <w:rsid w:val="00BC5C77"/>
    <w:rsid w:val="00BC601D"/>
    <w:rsid w:val="00BC6277"/>
    <w:rsid w:val="00BC628E"/>
    <w:rsid w:val="00BC68F1"/>
    <w:rsid w:val="00BC6CA1"/>
    <w:rsid w:val="00BC6F4A"/>
    <w:rsid w:val="00BC70C8"/>
    <w:rsid w:val="00BC765B"/>
    <w:rsid w:val="00BC773B"/>
    <w:rsid w:val="00BC7772"/>
    <w:rsid w:val="00BC7A48"/>
    <w:rsid w:val="00BD05FD"/>
    <w:rsid w:val="00BD06FC"/>
    <w:rsid w:val="00BD1CCE"/>
    <w:rsid w:val="00BD210C"/>
    <w:rsid w:val="00BD27E9"/>
    <w:rsid w:val="00BD2B12"/>
    <w:rsid w:val="00BD2CB3"/>
    <w:rsid w:val="00BD2DC2"/>
    <w:rsid w:val="00BD30D4"/>
    <w:rsid w:val="00BD32B0"/>
    <w:rsid w:val="00BD4359"/>
    <w:rsid w:val="00BD46A0"/>
    <w:rsid w:val="00BD4A0B"/>
    <w:rsid w:val="00BD53C7"/>
    <w:rsid w:val="00BD541C"/>
    <w:rsid w:val="00BD5531"/>
    <w:rsid w:val="00BD5901"/>
    <w:rsid w:val="00BD61B7"/>
    <w:rsid w:val="00BD669F"/>
    <w:rsid w:val="00BD675B"/>
    <w:rsid w:val="00BD69E7"/>
    <w:rsid w:val="00BD6BDE"/>
    <w:rsid w:val="00BD6E2E"/>
    <w:rsid w:val="00BD7119"/>
    <w:rsid w:val="00BD7392"/>
    <w:rsid w:val="00BD75D5"/>
    <w:rsid w:val="00BE0002"/>
    <w:rsid w:val="00BE00AA"/>
    <w:rsid w:val="00BE00E2"/>
    <w:rsid w:val="00BE1DB9"/>
    <w:rsid w:val="00BE1ED7"/>
    <w:rsid w:val="00BE20DE"/>
    <w:rsid w:val="00BE26D1"/>
    <w:rsid w:val="00BE2902"/>
    <w:rsid w:val="00BE2B5C"/>
    <w:rsid w:val="00BE3214"/>
    <w:rsid w:val="00BE348A"/>
    <w:rsid w:val="00BE42D3"/>
    <w:rsid w:val="00BE46EC"/>
    <w:rsid w:val="00BE4CE3"/>
    <w:rsid w:val="00BE4E35"/>
    <w:rsid w:val="00BE585C"/>
    <w:rsid w:val="00BE5C20"/>
    <w:rsid w:val="00BE5D8D"/>
    <w:rsid w:val="00BE6AF7"/>
    <w:rsid w:val="00BE6C58"/>
    <w:rsid w:val="00BE6F59"/>
    <w:rsid w:val="00BE72B1"/>
    <w:rsid w:val="00BF0053"/>
    <w:rsid w:val="00BF01C5"/>
    <w:rsid w:val="00BF04C6"/>
    <w:rsid w:val="00BF04F7"/>
    <w:rsid w:val="00BF0C38"/>
    <w:rsid w:val="00BF18CF"/>
    <w:rsid w:val="00BF2D73"/>
    <w:rsid w:val="00BF30B1"/>
    <w:rsid w:val="00BF3C15"/>
    <w:rsid w:val="00BF48A5"/>
    <w:rsid w:val="00BF48C1"/>
    <w:rsid w:val="00BF51AD"/>
    <w:rsid w:val="00BF5A09"/>
    <w:rsid w:val="00BF5A54"/>
    <w:rsid w:val="00BF5BFC"/>
    <w:rsid w:val="00BF6DAB"/>
    <w:rsid w:val="00BF7C53"/>
    <w:rsid w:val="00C0134F"/>
    <w:rsid w:val="00C0272F"/>
    <w:rsid w:val="00C0293D"/>
    <w:rsid w:val="00C02F9E"/>
    <w:rsid w:val="00C03564"/>
    <w:rsid w:val="00C03CBF"/>
    <w:rsid w:val="00C04863"/>
    <w:rsid w:val="00C04FF7"/>
    <w:rsid w:val="00C055D3"/>
    <w:rsid w:val="00C05D74"/>
    <w:rsid w:val="00C067CA"/>
    <w:rsid w:val="00C06AE4"/>
    <w:rsid w:val="00C06CD8"/>
    <w:rsid w:val="00C0709F"/>
    <w:rsid w:val="00C07455"/>
    <w:rsid w:val="00C07632"/>
    <w:rsid w:val="00C07737"/>
    <w:rsid w:val="00C07B4E"/>
    <w:rsid w:val="00C07C52"/>
    <w:rsid w:val="00C07CF8"/>
    <w:rsid w:val="00C10650"/>
    <w:rsid w:val="00C106F6"/>
    <w:rsid w:val="00C10DB7"/>
    <w:rsid w:val="00C1102D"/>
    <w:rsid w:val="00C110E8"/>
    <w:rsid w:val="00C115FA"/>
    <w:rsid w:val="00C12DD9"/>
    <w:rsid w:val="00C138A3"/>
    <w:rsid w:val="00C13920"/>
    <w:rsid w:val="00C1407D"/>
    <w:rsid w:val="00C140D0"/>
    <w:rsid w:val="00C14B93"/>
    <w:rsid w:val="00C152F3"/>
    <w:rsid w:val="00C15CC1"/>
    <w:rsid w:val="00C16ACE"/>
    <w:rsid w:val="00C16C45"/>
    <w:rsid w:val="00C17F03"/>
    <w:rsid w:val="00C203ED"/>
    <w:rsid w:val="00C20C12"/>
    <w:rsid w:val="00C21226"/>
    <w:rsid w:val="00C21936"/>
    <w:rsid w:val="00C21C27"/>
    <w:rsid w:val="00C21F92"/>
    <w:rsid w:val="00C2222D"/>
    <w:rsid w:val="00C22EBD"/>
    <w:rsid w:val="00C22F7E"/>
    <w:rsid w:val="00C231A2"/>
    <w:rsid w:val="00C232A0"/>
    <w:rsid w:val="00C237D3"/>
    <w:rsid w:val="00C2414B"/>
    <w:rsid w:val="00C24E56"/>
    <w:rsid w:val="00C267D9"/>
    <w:rsid w:val="00C268A5"/>
    <w:rsid w:val="00C26D24"/>
    <w:rsid w:val="00C26EEA"/>
    <w:rsid w:val="00C27190"/>
    <w:rsid w:val="00C274CB"/>
    <w:rsid w:val="00C27714"/>
    <w:rsid w:val="00C30831"/>
    <w:rsid w:val="00C31463"/>
    <w:rsid w:val="00C3320A"/>
    <w:rsid w:val="00C33780"/>
    <w:rsid w:val="00C33E7C"/>
    <w:rsid w:val="00C346B0"/>
    <w:rsid w:val="00C347AC"/>
    <w:rsid w:val="00C34C70"/>
    <w:rsid w:val="00C3540F"/>
    <w:rsid w:val="00C3597D"/>
    <w:rsid w:val="00C35EE9"/>
    <w:rsid w:val="00C36679"/>
    <w:rsid w:val="00C368C8"/>
    <w:rsid w:val="00C36ED3"/>
    <w:rsid w:val="00C36FF3"/>
    <w:rsid w:val="00C3710E"/>
    <w:rsid w:val="00C3723C"/>
    <w:rsid w:val="00C3723E"/>
    <w:rsid w:val="00C37471"/>
    <w:rsid w:val="00C3760F"/>
    <w:rsid w:val="00C37C93"/>
    <w:rsid w:val="00C40210"/>
    <w:rsid w:val="00C40338"/>
    <w:rsid w:val="00C40B08"/>
    <w:rsid w:val="00C4118E"/>
    <w:rsid w:val="00C418B6"/>
    <w:rsid w:val="00C41AC4"/>
    <w:rsid w:val="00C41BD7"/>
    <w:rsid w:val="00C41C18"/>
    <w:rsid w:val="00C422C2"/>
    <w:rsid w:val="00C42858"/>
    <w:rsid w:val="00C42C42"/>
    <w:rsid w:val="00C42C56"/>
    <w:rsid w:val="00C42C5D"/>
    <w:rsid w:val="00C431C5"/>
    <w:rsid w:val="00C436A4"/>
    <w:rsid w:val="00C436D6"/>
    <w:rsid w:val="00C43B3B"/>
    <w:rsid w:val="00C44240"/>
    <w:rsid w:val="00C4480A"/>
    <w:rsid w:val="00C44B31"/>
    <w:rsid w:val="00C44C25"/>
    <w:rsid w:val="00C44FCB"/>
    <w:rsid w:val="00C464E3"/>
    <w:rsid w:val="00C46708"/>
    <w:rsid w:val="00C46B45"/>
    <w:rsid w:val="00C478C5"/>
    <w:rsid w:val="00C47D9E"/>
    <w:rsid w:val="00C50E94"/>
    <w:rsid w:val="00C51414"/>
    <w:rsid w:val="00C51BB6"/>
    <w:rsid w:val="00C52E19"/>
    <w:rsid w:val="00C53545"/>
    <w:rsid w:val="00C537D8"/>
    <w:rsid w:val="00C54679"/>
    <w:rsid w:val="00C54B25"/>
    <w:rsid w:val="00C54B52"/>
    <w:rsid w:val="00C55158"/>
    <w:rsid w:val="00C5516D"/>
    <w:rsid w:val="00C55AE7"/>
    <w:rsid w:val="00C56311"/>
    <w:rsid w:val="00C56609"/>
    <w:rsid w:val="00C60876"/>
    <w:rsid w:val="00C6120B"/>
    <w:rsid w:val="00C615C6"/>
    <w:rsid w:val="00C6177A"/>
    <w:rsid w:val="00C61B29"/>
    <w:rsid w:val="00C61C36"/>
    <w:rsid w:val="00C626DF"/>
    <w:rsid w:val="00C62BCC"/>
    <w:rsid w:val="00C62CED"/>
    <w:rsid w:val="00C63580"/>
    <w:rsid w:val="00C63756"/>
    <w:rsid w:val="00C64067"/>
    <w:rsid w:val="00C642D4"/>
    <w:rsid w:val="00C64B9D"/>
    <w:rsid w:val="00C654E8"/>
    <w:rsid w:val="00C66422"/>
    <w:rsid w:val="00C66462"/>
    <w:rsid w:val="00C6650E"/>
    <w:rsid w:val="00C66BC6"/>
    <w:rsid w:val="00C66C29"/>
    <w:rsid w:val="00C66D7D"/>
    <w:rsid w:val="00C66FD0"/>
    <w:rsid w:val="00C67324"/>
    <w:rsid w:val="00C67FDF"/>
    <w:rsid w:val="00C7109E"/>
    <w:rsid w:val="00C71701"/>
    <w:rsid w:val="00C71912"/>
    <w:rsid w:val="00C71BD7"/>
    <w:rsid w:val="00C72015"/>
    <w:rsid w:val="00C72031"/>
    <w:rsid w:val="00C72331"/>
    <w:rsid w:val="00C725EB"/>
    <w:rsid w:val="00C726F7"/>
    <w:rsid w:val="00C72ADA"/>
    <w:rsid w:val="00C733AC"/>
    <w:rsid w:val="00C7389D"/>
    <w:rsid w:val="00C73ACE"/>
    <w:rsid w:val="00C74707"/>
    <w:rsid w:val="00C7490F"/>
    <w:rsid w:val="00C74FC0"/>
    <w:rsid w:val="00C75167"/>
    <w:rsid w:val="00C752EF"/>
    <w:rsid w:val="00C75AE5"/>
    <w:rsid w:val="00C75B5B"/>
    <w:rsid w:val="00C76663"/>
    <w:rsid w:val="00C768D5"/>
    <w:rsid w:val="00C76EB1"/>
    <w:rsid w:val="00C77B21"/>
    <w:rsid w:val="00C77B90"/>
    <w:rsid w:val="00C804CA"/>
    <w:rsid w:val="00C80620"/>
    <w:rsid w:val="00C8103B"/>
    <w:rsid w:val="00C81211"/>
    <w:rsid w:val="00C81A38"/>
    <w:rsid w:val="00C82287"/>
    <w:rsid w:val="00C82331"/>
    <w:rsid w:val="00C823EB"/>
    <w:rsid w:val="00C82572"/>
    <w:rsid w:val="00C827C1"/>
    <w:rsid w:val="00C82C2F"/>
    <w:rsid w:val="00C82D3C"/>
    <w:rsid w:val="00C83728"/>
    <w:rsid w:val="00C842A7"/>
    <w:rsid w:val="00C842D3"/>
    <w:rsid w:val="00C84EA9"/>
    <w:rsid w:val="00C855A3"/>
    <w:rsid w:val="00C85E6A"/>
    <w:rsid w:val="00C86327"/>
    <w:rsid w:val="00C86BB9"/>
    <w:rsid w:val="00C872F2"/>
    <w:rsid w:val="00C87787"/>
    <w:rsid w:val="00C87B56"/>
    <w:rsid w:val="00C87B67"/>
    <w:rsid w:val="00C90241"/>
    <w:rsid w:val="00C9100A"/>
    <w:rsid w:val="00C911D3"/>
    <w:rsid w:val="00C91946"/>
    <w:rsid w:val="00C9234C"/>
    <w:rsid w:val="00C9254C"/>
    <w:rsid w:val="00C92603"/>
    <w:rsid w:val="00C93468"/>
    <w:rsid w:val="00C93561"/>
    <w:rsid w:val="00C93857"/>
    <w:rsid w:val="00C93A86"/>
    <w:rsid w:val="00C93D3D"/>
    <w:rsid w:val="00C9490A"/>
    <w:rsid w:val="00C94AEC"/>
    <w:rsid w:val="00C95414"/>
    <w:rsid w:val="00C97594"/>
    <w:rsid w:val="00C979FD"/>
    <w:rsid w:val="00CA012E"/>
    <w:rsid w:val="00CA0BAF"/>
    <w:rsid w:val="00CA0E23"/>
    <w:rsid w:val="00CA10BB"/>
    <w:rsid w:val="00CA13A7"/>
    <w:rsid w:val="00CA143D"/>
    <w:rsid w:val="00CA20BC"/>
    <w:rsid w:val="00CA2639"/>
    <w:rsid w:val="00CA3587"/>
    <w:rsid w:val="00CA365D"/>
    <w:rsid w:val="00CA36DD"/>
    <w:rsid w:val="00CA376B"/>
    <w:rsid w:val="00CA37BC"/>
    <w:rsid w:val="00CA4158"/>
    <w:rsid w:val="00CA50B3"/>
    <w:rsid w:val="00CA5229"/>
    <w:rsid w:val="00CA5763"/>
    <w:rsid w:val="00CA5765"/>
    <w:rsid w:val="00CA5B3A"/>
    <w:rsid w:val="00CA5BDA"/>
    <w:rsid w:val="00CA5D54"/>
    <w:rsid w:val="00CA6368"/>
    <w:rsid w:val="00CA66E3"/>
    <w:rsid w:val="00CA69FB"/>
    <w:rsid w:val="00CA6B4F"/>
    <w:rsid w:val="00CA711C"/>
    <w:rsid w:val="00CA7634"/>
    <w:rsid w:val="00CA7B66"/>
    <w:rsid w:val="00CB0160"/>
    <w:rsid w:val="00CB0522"/>
    <w:rsid w:val="00CB0A66"/>
    <w:rsid w:val="00CB1BB8"/>
    <w:rsid w:val="00CB24CE"/>
    <w:rsid w:val="00CB2686"/>
    <w:rsid w:val="00CB28A2"/>
    <w:rsid w:val="00CB2C80"/>
    <w:rsid w:val="00CB3792"/>
    <w:rsid w:val="00CB3C07"/>
    <w:rsid w:val="00CB4D3E"/>
    <w:rsid w:val="00CB50B2"/>
    <w:rsid w:val="00CB57EA"/>
    <w:rsid w:val="00CB5A18"/>
    <w:rsid w:val="00CB5C3A"/>
    <w:rsid w:val="00CB5CC7"/>
    <w:rsid w:val="00CB667A"/>
    <w:rsid w:val="00CB6E04"/>
    <w:rsid w:val="00CB7937"/>
    <w:rsid w:val="00CB7C4F"/>
    <w:rsid w:val="00CC08D7"/>
    <w:rsid w:val="00CC09F4"/>
    <w:rsid w:val="00CC10ED"/>
    <w:rsid w:val="00CC1869"/>
    <w:rsid w:val="00CC2000"/>
    <w:rsid w:val="00CC261C"/>
    <w:rsid w:val="00CC27ED"/>
    <w:rsid w:val="00CC2D13"/>
    <w:rsid w:val="00CC2F4C"/>
    <w:rsid w:val="00CC3372"/>
    <w:rsid w:val="00CC38A1"/>
    <w:rsid w:val="00CC3ABC"/>
    <w:rsid w:val="00CC3AD4"/>
    <w:rsid w:val="00CC3ECF"/>
    <w:rsid w:val="00CC47E2"/>
    <w:rsid w:val="00CC4AF7"/>
    <w:rsid w:val="00CC4F83"/>
    <w:rsid w:val="00CC5CB2"/>
    <w:rsid w:val="00CC624E"/>
    <w:rsid w:val="00CC7202"/>
    <w:rsid w:val="00CC73DA"/>
    <w:rsid w:val="00CC7AFF"/>
    <w:rsid w:val="00CC7B44"/>
    <w:rsid w:val="00CD0B91"/>
    <w:rsid w:val="00CD0ED3"/>
    <w:rsid w:val="00CD0F90"/>
    <w:rsid w:val="00CD187B"/>
    <w:rsid w:val="00CD194B"/>
    <w:rsid w:val="00CD1D56"/>
    <w:rsid w:val="00CD1EC8"/>
    <w:rsid w:val="00CD2607"/>
    <w:rsid w:val="00CD2C93"/>
    <w:rsid w:val="00CD33AE"/>
    <w:rsid w:val="00CD3EC2"/>
    <w:rsid w:val="00CD4322"/>
    <w:rsid w:val="00CD440F"/>
    <w:rsid w:val="00CD4428"/>
    <w:rsid w:val="00CD44FA"/>
    <w:rsid w:val="00CD493F"/>
    <w:rsid w:val="00CD4A88"/>
    <w:rsid w:val="00CD550B"/>
    <w:rsid w:val="00CD55AB"/>
    <w:rsid w:val="00CD5875"/>
    <w:rsid w:val="00CD5F29"/>
    <w:rsid w:val="00CD6911"/>
    <w:rsid w:val="00CD6952"/>
    <w:rsid w:val="00CD71DD"/>
    <w:rsid w:val="00CD7CDC"/>
    <w:rsid w:val="00CD7D8A"/>
    <w:rsid w:val="00CD7F45"/>
    <w:rsid w:val="00CE0078"/>
    <w:rsid w:val="00CE0C50"/>
    <w:rsid w:val="00CE13D9"/>
    <w:rsid w:val="00CE1810"/>
    <w:rsid w:val="00CE207E"/>
    <w:rsid w:val="00CE2FCD"/>
    <w:rsid w:val="00CE31DB"/>
    <w:rsid w:val="00CE35E2"/>
    <w:rsid w:val="00CE4087"/>
    <w:rsid w:val="00CE4143"/>
    <w:rsid w:val="00CE4A61"/>
    <w:rsid w:val="00CE4E53"/>
    <w:rsid w:val="00CE4EBC"/>
    <w:rsid w:val="00CE55BD"/>
    <w:rsid w:val="00CE5DB8"/>
    <w:rsid w:val="00CE5E14"/>
    <w:rsid w:val="00CE6658"/>
    <w:rsid w:val="00CE7004"/>
    <w:rsid w:val="00CE7176"/>
    <w:rsid w:val="00CE7A73"/>
    <w:rsid w:val="00CE7F1E"/>
    <w:rsid w:val="00CE7F5D"/>
    <w:rsid w:val="00CF0591"/>
    <w:rsid w:val="00CF0A86"/>
    <w:rsid w:val="00CF0C23"/>
    <w:rsid w:val="00CF0C53"/>
    <w:rsid w:val="00CF12CB"/>
    <w:rsid w:val="00CF19DA"/>
    <w:rsid w:val="00CF1DF5"/>
    <w:rsid w:val="00CF1EF2"/>
    <w:rsid w:val="00CF296A"/>
    <w:rsid w:val="00CF2A10"/>
    <w:rsid w:val="00CF2D4A"/>
    <w:rsid w:val="00CF347B"/>
    <w:rsid w:val="00CF3726"/>
    <w:rsid w:val="00CF389F"/>
    <w:rsid w:val="00CF3BF5"/>
    <w:rsid w:val="00CF4B13"/>
    <w:rsid w:val="00CF5108"/>
    <w:rsid w:val="00CF5655"/>
    <w:rsid w:val="00CF59AB"/>
    <w:rsid w:val="00CF5BD0"/>
    <w:rsid w:val="00CF636C"/>
    <w:rsid w:val="00CF6635"/>
    <w:rsid w:val="00CF6668"/>
    <w:rsid w:val="00CF66F2"/>
    <w:rsid w:val="00CF6B06"/>
    <w:rsid w:val="00CF6C69"/>
    <w:rsid w:val="00CF71E8"/>
    <w:rsid w:val="00CF7860"/>
    <w:rsid w:val="00D00FAA"/>
    <w:rsid w:val="00D00FAF"/>
    <w:rsid w:val="00D0172E"/>
    <w:rsid w:val="00D01769"/>
    <w:rsid w:val="00D02311"/>
    <w:rsid w:val="00D02357"/>
    <w:rsid w:val="00D025DB"/>
    <w:rsid w:val="00D02994"/>
    <w:rsid w:val="00D03656"/>
    <w:rsid w:val="00D03752"/>
    <w:rsid w:val="00D03FD7"/>
    <w:rsid w:val="00D04989"/>
    <w:rsid w:val="00D0500B"/>
    <w:rsid w:val="00D0550C"/>
    <w:rsid w:val="00D05B02"/>
    <w:rsid w:val="00D06874"/>
    <w:rsid w:val="00D06AA0"/>
    <w:rsid w:val="00D06F66"/>
    <w:rsid w:val="00D07144"/>
    <w:rsid w:val="00D07A8D"/>
    <w:rsid w:val="00D07CBF"/>
    <w:rsid w:val="00D07DAD"/>
    <w:rsid w:val="00D10574"/>
    <w:rsid w:val="00D1080C"/>
    <w:rsid w:val="00D10ACC"/>
    <w:rsid w:val="00D10D33"/>
    <w:rsid w:val="00D10E56"/>
    <w:rsid w:val="00D110F7"/>
    <w:rsid w:val="00D11788"/>
    <w:rsid w:val="00D128E9"/>
    <w:rsid w:val="00D12A88"/>
    <w:rsid w:val="00D13394"/>
    <w:rsid w:val="00D13C12"/>
    <w:rsid w:val="00D146BD"/>
    <w:rsid w:val="00D14ED1"/>
    <w:rsid w:val="00D1577B"/>
    <w:rsid w:val="00D16249"/>
    <w:rsid w:val="00D162F0"/>
    <w:rsid w:val="00D17287"/>
    <w:rsid w:val="00D172BB"/>
    <w:rsid w:val="00D17F71"/>
    <w:rsid w:val="00D204E9"/>
    <w:rsid w:val="00D208C4"/>
    <w:rsid w:val="00D20D0F"/>
    <w:rsid w:val="00D22476"/>
    <w:rsid w:val="00D2289C"/>
    <w:rsid w:val="00D23D4A"/>
    <w:rsid w:val="00D2485A"/>
    <w:rsid w:val="00D24B73"/>
    <w:rsid w:val="00D24BDE"/>
    <w:rsid w:val="00D24CD5"/>
    <w:rsid w:val="00D250E3"/>
    <w:rsid w:val="00D25DBA"/>
    <w:rsid w:val="00D263EF"/>
    <w:rsid w:val="00D26A42"/>
    <w:rsid w:val="00D27310"/>
    <w:rsid w:val="00D27463"/>
    <w:rsid w:val="00D27A55"/>
    <w:rsid w:val="00D309E6"/>
    <w:rsid w:val="00D30A9B"/>
    <w:rsid w:val="00D30BC8"/>
    <w:rsid w:val="00D30C26"/>
    <w:rsid w:val="00D31DA7"/>
    <w:rsid w:val="00D333D9"/>
    <w:rsid w:val="00D3345F"/>
    <w:rsid w:val="00D33A09"/>
    <w:rsid w:val="00D33BD6"/>
    <w:rsid w:val="00D3401D"/>
    <w:rsid w:val="00D34627"/>
    <w:rsid w:val="00D34984"/>
    <w:rsid w:val="00D34CAE"/>
    <w:rsid w:val="00D3549E"/>
    <w:rsid w:val="00D359C5"/>
    <w:rsid w:val="00D36021"/>
    <w:rsid w:val="00D363AE"/>
    <w:rsid w:val="00D36E10"/>
    <w:rsid w:val="00D37877"/>
    <w:rsid w:val="00D37934"/>
    <w:rsid w:val="00D37938"/>
    <w:rsid w:val="00D37A5F"/>
    <w:rsid w:val="00D37C25"/>
    <w:rsid w:val="00D40505"/>
    <w:rsid w:val="00D4069D"/>
    <w:rsid w:val="00D40CA2"/>
    <w:rsid w:val="00D41803"/>
    <w:rsid w:val="00D41C1C"/>
    <w:rsid w:val="00D422FC"/>
    <w:rsid w:val="00D42BB8"/>
    <w:rsid w:val="00D4445E"/>
    <w:rsid w:val="00D449F5"/>
    <w:rsid w:val="00D458DF"/>
    <w:rsid w:val="00D4613E"/>
    <w:rsid w:val="00D4617F"/>
    <w:rsid w:val="00D4628A"/>
    <w:rsid w:val="00D46960"/>
    <w:rsid w:val="00D469DD"/>
    <w:rsid w:val="00D46CCF"/>
    <w:rsid w:val="00D47271"/>
    <w:rsid w:val="00D4744F"/>
    <w:rsid w:val="00D475A7"/>
    <w:rsid w:val="00D47830"/>
    <w:rsid w:val="00D47892"/>
    <w:rsid w:val="00D47A6F"/>
    <w:rsid w:val="00D47E86"/>
    <w:rsid w:val="00D50102"/>
    <w:rsid w:val="00D50129"/>
    <w:rsid w:val="00D51344"/>
    <w:rsid w:val="00D5134E"/>
    <w:rsid w:val="00D5142B"/>
    <w:rsid w:val="00D51A4B"/>
    <w:rsid w:val="00D51DCD"/>
    <w:rsid w:val="00D52016"/>
    <w:rsid w:val="00D52380"/>
    <w:rsid w:val="00D52A32"/>
    <w:rsid w:val="00D53178"/>
    <w:rsid w:val="00D53EA9"/>
    <w:rsid w:val="00D5659C"/>
    <w:rsid w:val="00D5687B"/>
    <w:rsid w:val="00D56C7B"/>
    <w:rsid w:val="00D56FF0"/>
    <w:rsid w:val="00D570CE"/>
    <w:rsid w:val="00D575A2"/>
    <w:rsid w:val="00D57C5E"/>
    <w:rsid w:val="00D60677"/>
    <w:rsid w:val="00D60C39"/>
    <w:rsid w:val="00D61075"/>
    <w:rsid w:val="00D6126C"/>
    <w:rsid w:val="00D61559"/>
    <w:rsid w:val="00D62096"/>
    <w:rsid w:val="00D6222F"/>
    <w:rsid w:val="00D62EF6"/>
    <w:rsid w:val="00D63149"/>
    <w:rsid w:val="00D633A2"/>
    <w:rsid w:val="00D6355B"/>
    <w:rsid w:val="00D63908"/>
    <w:rsid w:val="00D63B6A"/>
    <w:rsid w:val="00D63E78"/>
    <w:rsid w:val="00D63F88"/>
    <w:rsid w:val="00D63F9F"/>
    <w:rsid w:val="00D63FA1"/>
    <w:rsid w:val="00D6403B"/>
    <w:rsid w:val="00D64397"/>
    <w:rsid w:val="00D65231"/>
    <w:rsid w:val="00D65365"/>
    <w:rsid w:val="00D664DB"/>
    <w:rsid w:val="00D679FE"/>
    <w:rsid w:val="00D67C4E"/>
    <w:rsid w:val="00D67F8E"/>
    <w:rsid w:val="00D702B0"/>
    <w:rsid w:val="00D70A04"/>
    <w:rsid w:val="00D70DFF"/>
    <w:rsid w:val="00D71056"/>
    <w:rsid w:val="00D71C04"/>
    <w:rsid w:val="00D72E18"/>
    <w:rsid w:val="00D731B9"/>
    <w:rsid w:val="00D744B0"/>
    <w:rsid w:val="00D74812"/>
    <w:rsid w:val="00D74CAE"/>
    <w:rsid w:val="00D75191"/>
    <w:rsid w:val="00D752B0"/>
    <w:rsid w:val="00D75AD3"/>
    <w:rsid w:val="00D75C43"/>
    <w:rsid w:val="00D75DE0"/>
    <w:rsid w:val="00D75FF1"/>
    <w:rsid w:val="00D76F15"/>
    <w:rsid w:val="00D77979"/>
    <w:rsid w:val="00D80D0D"/>
    <w:rsid w:val="00D811AB"/>
    <w:rsid w:val="00D82298"/>
    <w:rsid w:val="00D8235E"/>
    <w:rsid w:val="00D823C3"/>
    <w:rsid w:val="00D82600"/>
    <w:rsid w:val="00D82AC8"/>
    <w:rsid w:val="00D82D45"/>
    <w:rsid w:val="00D832E1"/>
    <w:rsid w:val="00D837A8"/>
    <w:rsid w:val="00D84504"/>
    <w:rsid w:val="00D845F1"/>
    <w:rsid w:val="00D84DA0"/>
    <w:rsid w:val="00D85F5F"/>
    <w:rsid w:val="00D86767"/>
    <w:rsid w:val="00D86789"/>
    <w:rsid w:val="00D86B5D"/>
    <w:rsid w:val="00D86CA5"/>
    <w:rsid w:val="00D875F6"/>
    <w:rsid w:val="00D87D19"/>
    <w:rsid w:val="00D87E67"/>
    <w:rsid w:val="00D90749"/>
    <w:rsid w:val="00D90BF6"/>
    <w:rsid w:val="00D913BB"/>
    <w:rsid w:val="00D921D5"/>
    <w:rsid w:val="00D92D31"/>
    <w:rsid w:val="00D92E70"/>
    <w:rsid w:val="00D9343D"/>
    <w:rsid w:val="00D93CDE"/>
    <w:rsid w:val="00D940F2"/>
    <w:rsid w:val="00D94102"/>
    <w:rsid w:val="00D94C51"/>
    <w:rsid w:val="00D951BC"/>
    <w:rsid w:val="00D964AF"/>
    <w:rsid w:val="00D96E32"/>
    <w:rsid w:val="00D96F16"/>
    <w:rsid w:val="00D97662"/>
    <w:rsid w:val="00D97ACE"/>
    <w:rsid w:val="00D97D33"/>
    <w:rsid w:val="00D97F58"/>
    <w:rsid w:val="00DA08DB"/>
    <w:rsid w:val="00DA1C5D"/>
    <w:rsid w:val="00DA213E"/>
    <w:rsid w:val="00DA3C21"/>
    <w:rsid w:val="00DA3E36"/>
    <w:rsid w:val="00DA3FCF"/>
    <w:rsid w:val="00DA42AF"/>
    <w:rsid w:val="00DA4356"/>
    <w:rsid w:val="00DA4D90"/>
    <w:rsid w:val="00DA65F3"/>
    <w:rsid w:val="00DA72B6"/>
    <w:rsid w:val="00DB0697"/>
    <w:rsid w:val="00DB0FFB"/>
    <w:rsid w:val="00DB1A0A"/>
    <w:rsid w:val="00DB1C96"/>
    <w:rsid w:val="00DB2CF1"/>
    <w:rsid w:val="00DB356E"/>
    <w:rsid w:val="00DB3867"/>
    <w:rsid w:val="00DB4B4B"/>
    <w:rsid w:val="00DB4C2C"/>
    <w:rsid w:val="00DB6329"/>
    <w:rsid w:val="00DB7077"/>
    <w:rsid w:val="00DB7178"/>
    <w:rsid w:val="00DB7B3B"/>
    <w:rsid w:val="00DB7C45"/>
    <w:rsid w:val="00DC042E"/>
    <w:rsid w:val="00DC0D09"/>
    <w:rsid w:val="00DC0D45"/>
    <w:rsid w:val="00DC1130"/>
    <w:rsid w:val="00DC1165"/>
    <w:rsid w:val="00DC1288"/>
    <w:rsid w:val="00DC170F"/>
    <w:rsid w:val="00DC1FB4"/>
    <w:rsid w:val="00DC2AAC"/>
    <w:rsid w:val="00DC2F73"/>
    <w:rsid w:val="00DC392C"/>
    <w:rsid w:val="00DC3C5B"/>
    <w:rsid w:val="00DC3E0F"/>
    <w:rsid w:val="00DC427C"/>
    <w:rsid w:val="00DC470C"/>
    <w:rsid w:val="00DC487D"/>
    <w:rsid w:val="00DC4A13"/>
    <w:rsid w:val="00DC4D8C"/>
    <w:rsid w:val="00DC4DC5"/>
    <w:rsid w:val="00DC4E12"/>
    <w:rsid w:val="00DC5385"/>
    <w:rsid w:val="00DC55B5"/>
    <w:rsid w:val="00DC5D68"/>
    <w:rsid w:val="00DC5DFF"/>
    <w:rsid w:val="00DC6429"/>
    <w:rsid w:val="00DC679F"/>
    <w:rsid w:val="00DC6ACC"/>
    <w:rsid w:val="00DC7C1E"/>
    <w:rsid w:val="00DD107F"/>
    <w:rsid w:val="00DD20DC"/>
    <w:rsid w:val="00DD2685"/>
    <w:rsid w:val="00DD33CA"/>
    <w:rsid w:val="00DD3538"/>
    <w:rsid w:val="00DD3EBC"/>
    <w:rsid w:val="00DD47AC"/>
    <w:rsid w:val="00DD49ED"/>
    <w:rsid w:val="00DD4DF0"/>
    <w:rsid w:val="00DD4E01"/>
    <w:rsid w:val="00DD5099"/>
    <w:rsid w:val="00DD547A"/>
    <w:rsid w:val="00DD5970"/>
    <w:rsid w:val="00DD5BCA"/>
    <w:rsid w:val="00DD6002"/>
    <w:rsid w:val="00DD6648"/>
    <w:rsid w:val="00DD68B2"/>
    <w:rsid w:val="00DD6C08"/>
    <w:rsid w:val="00DD7710"/>
    <w:rsid w:val="00DD7A8B"/>
    <w:rsid w:val="00DD7E9B"/>
    <w:rsid w:val="00DE0324"/>
    <w:rsid w:val="00DE070B"/>
    <w:rsid w:val="00DE0AB0"/>
    <w:rsid w:val="00DE0CB6"/>
    <w:rsid w:val="00DE1277"/>
    <w:rsid w:val="00DE17C4"/>
    <w:rsid w:val="00DE1C06"/>
    <w:rsid w:val="00DE1FF1"/>
    <w:rsid w:val="00DE24C7"/>
    <w:rsid w:val="00DE2871"/>
    <w:rsid w:val="00DE37DF"/>
    <w:rsid w:val="00DE3B9A"/>
    <w:rsid w:val="00DE4016"/>
    <w:rsid w:val="00DE423D"/>
    <w:rsid w:val="00DE4CE6"/>
    <w:rsid w:val="00DE58D1"/>
    <w:rsid w:val="00DE5A80"/>
    <w:rsid w:val="00DE6829"/>
    <w:rsid w:val="00DE7365"/>
    <w:rsid w:val="00DE7B78"/>
    <w:rsid w:val="00DF0588"/>
    <w:rsid w:val="00DF0AB9"/>
    <w:rsid w:val="00DF0B1E"/>
    <w:rsid w:val="00DF111C"/>
    <w:rsid w:val="00DF1EBE"/>
    <w:rsid w:val="00DF1F60"/>
    <w:rsid w:val="00DF2267"/>
    <w:rsid w:val="00DF2482"/>
    <w:rsid w:val="00DF25C7"/>
    <w:rsid w:val="00DF280C"/>
    <w:rsid w:val="00DF36F1"/>
    <w:rsid w:val="00DF3BB0"/>
    <w:rsid w:val="00DF3F48"/>
    <w:rsid w:val="00DF51F6"/>
    <w:rsid w:val="00DF5D14"/>
    <w:rsid w:val="00DF6FC1"/>
    <w:rsid w:val="00DF7ECB"/>
    <w:rsid w:val="00E00774"/>
    <w:rsid w:val="00E00882"/>
    <w:rsid w:val="00E00973"/>
    <w:rsid w:val="00E01007"/>
    <w:rsid w:val="00E012CD"/>
    <w:rsid w:val="00E016CA"/>
    <w:rsid w:val="00E0344F"/>
    <w:rsid w:val="00E03B91"/>
    <w:rsid w:val="00E03C93"/>
    <w:rsid w:val="00E0452A"/>
    <w:rsid w:val="00E04535"/>
    <w:rsid w:val="00E0456A"/>
    <w:rsid w:val="00E047D9"/>
    <w:rsid w:val="00E04BAE"/>
    <w:rsid w:val="00E04E16"/>
    <w:rsid w:val="00E04F54"/>
    <w:rsid w:val="00E054B6"/>
    <w:rsid w:val="00E05F58"/>
    <w:rsid w:val="00E069F3"/>
    <w:rsid w:val="00E06A60"/>
    <w:rsid w:val="00E06F34"/>
    <w:rsid w:val="00E0738F"/>
    <w:rsid w:val="00E1008C"/>
    <w:rsid w:val="00E1052A"/>
    <w:rsid w:val="00E105E7"/>
    <w:rsid w:val="00E110AC"/>
    <w:rsid w:val="00E120EB"/>
    <w:rsid w:val="00E12335"/>
    <w:rsid w:val="00E12A9B"/>
    <w:rsid w:val="00E12B6A"/>
    <w:rsid w:val="00E13D47"/>
    <w:rsid w:val="00E14C17"/>
    <w:rsid w:val="00E1545C"/>
    <w:rsid w:val="00E1594F"/>
    <w:rsid w:val="00E15FAF"/>
    <w:rsid w:val="00E16284"/>
    <w:rsid w:val="00E169E1"/>
    <w:rsid w:val="00E16EE8"/>
    <w:rsid w:val="00E17D94"/>
    <w:rsid w:val="00E20989"/>
    <w:rsid w:val="00E21802"/>
    <w:rsid w:val="00E21EF7"/>
    <w:rsid w:val="00E226BB"/>
    <w:rsid w:val="00E2338A"/>
    <w:rsid w:val="00E24588"/>
    <w:rsid w:val="00E2473A"/>
    <w:rsid w:val="00E24999"/>
    <w:rsid w:val="00E25163"/>
    <w:rsid w:val="00E251E3"/>
    <w:rsid w:val="00E2573F"/>
    <w:rsid w:val="00E260D2"/>
    <w:rsid w:val="00E2637D"/>
    <w:rsid w:val="00E26B74"/>
    <w:rsid w:val="00E27566"/>
    <w:rsid w:val="00E2771F"/>
    <w:rsid w:val="00E27ABD"/>
    <w:rsid w:val="00E3071A"/>
    <w:rsid w:val="00E30FC1"/>
    <w:rsid w:val="00E3163F"/>
    <w:rsid w:val="00E31692"/>
    <w:rsid w:val="00E31A36"/>
    <w:rsid w:val="00E31FC0"/>
    <w:rsid w:val="00E32664"/>
    <w:rsid w:val="00E32A76"/>
    <w:rsid w:val="00E33805"/>
    <w:rsid w:val="00E33FED"/>
    <w:rsid w:val="00E34313"/>
    <w:rsid w:val="00E343A0"/>
    <w:rsid w:val="00E34F40"/>
    <w:rsid w:val="00E359FA"/>
    <w:rsid w:val="00E36177"/>
    <w:rsid w:val="00E374C0"/>
    <w:rsid w:val="00E37D43"/>
    <w:rsid w:val="00E37EAD"/>
    <w:rsid w:val="00E40434"/>
    <w:rsid w:val="00E413A8"/>
    <w:rsid w:val="00E41C45"/>
    <w:rsid w:val="00E42664"/>
    <w:rsid w:val="00E42FF9"/>
    <w:rsid w:val="00E43190"/>
    <w:rsid w:val="00E4347A"/>
    <w:rsid w:val="00E434FE"/>
    <w:rsid w:val="00E43F93"/>
    <w:rsid w:val="00E44261"/>
    <w:rsid w:val="00E442A7"/>
    <w:rsid w:val="00E44454"/>
    <w:rsid w:val="00E44649"/>
    <w:rsid w:val="00E45049"/>
    <w:rsid w:val="00E450E4"/>
    <w:rsid w:val="00E45763"/>
    <w:rsid w:val="00E46157"/>
    <w:rsid w:val="00E47410"/>
    <w:rsid w:val="00E50C38"/>
    <w:rsid w:val="00E50D34"/>
    <w:rsid w:val="00E51C3E"/>
    <w:rsid w:val="00E52958"/>
    <w:rsid w:val="00E52DEF"/>
    <w:rsid w:val="00E52E93"/>
    <w:rsid w:val="00E53366"/>
    <w:rsid w:val="00E546BB"/>
    <w:rsid w:val="00E54717"/>
    <w:rsid w:val="00E54865"/>
    <w:rsid w:val="00E54899"/>
    <w:rsid w:val="00E549E4"/>
    <w:rsid w:val="00E5519C"/>
    <w:rsid w:val="00E5547C"/>
    <w:rsid w:val="00E555D4"/>
    <w:rsid w:val="00E559F5"/>
    <w:rsid w:val="00E55ABC"/>
    <w:rsid w:val="00E55C94"/>
    <w:rsid w:val="00E56E62"/>
    <w:rsid w:val="00E571FA"/>
    <w:rsid w:val="00E5743C"/>
    <w:rsid w:val="00E57BB7"/>
    <w:rsid w:val="00E57D48"/>
    <w:rsid w:val="00E61278"/>
    <w:rsid w:val="00E61B49"/>
    <w:rsid w:val="00E61F1E"/>
    <w:rsid w:val="00E624EA"/>
    <w:rsid w:val="00E627FA"/>
    <w:rsid w:val="00E62BBB"/>
    <w:rsid w:val="00E63111"/>
    <w:rsid w:val="00E63124"/>
    <w:rsid w:val="00E63482"/>
    <w:rsid w:val="00E636E2"/>
    <w:rsid w:val="00E63837"/>
    <w:rsid w:val="00E645D5"/>
    <w:rsid w:val="00E64F90"/>
    <w:rsid w:val="00E6544D"/>
    <w:rsid w:val="00E65EF1"/>
    <w:rsid w:val="00E66337"/>
    <w:rsid w:val="00E6637F"/>
    <w:rsid w:val="00E6658A"/>
    <w:rsid w:val="00E6688B"/>
    <w:rsid w:val="00E669F1"/>
    <w:rsid w:val="00E66BA0"/>
    <w:rsid w:val="00E66D69"/>
    <w:rsid w:val="00E67000"/>
    <w:rsid w:val="00E67098"/>
    <w:rsid w:val="00E6787F"/>
    <w:rsid w:val="00E67947"/>
    <w:rsid w:val="00E67B1A"/>
    <w:rsid w:val="00E70412"/>
    <w:rsid w:val="00E70BC2"/>
    <w:rsid w:val="00E70BFA"/>
    <w:rsid w:val="00E712FE"/>
    <w:rsid w:val="00E719A3"/>
    <w:rsid w:val="00E7251F"/>
    <w:rsid w:val="00E72CE5"/>
    <w:rsid w:val="00E72F3B"/>
    <w:rsid w:val="00E73071"/>
    <w:rsid w:val="00E731FD"/>
    <w:rsid w:val="00E73278"/>
    <w:rsid w:val="00E739C2"/>
    <w:rsid w:val="00E73F7A"/>
    <w:rsid w:val="00E745B5"/>
    <w:rsid w:val="00E74B40"/>
    <w:rsid w:val="00E74EBB"/>
    <w:rsid w:val="00E7520D"/>
    <w:rsid w:val="00E7534A"/>
    <w:rsid w:val="00E75645"/>
    <w:rsid w:val="00E76338"/>
    <w:rsid w:val="00E763D0"/>
    <w:rsid w:val="00E76613"/>
    <w:rsid w:val="00E7670E"/>
    <w:rsid w:val="00E76A94"/>
    <w:rsid w:val="00E76BAE"/>
    <w:rsid w:val="00E77A86"/>
    <w:rsid w:val="00E77C10"/>
    <w:rsid w:val="00E80FB1"/>
    <w:rsid w:val="00E8150E"/>
    <w:rsid w:val="00E81575"/>
    <w:rsid w:val="00E818E4"/>
    <w:rsid w:val="00E81D39"/>
    <w:rsid w:val="00E81F9C"/>
    <w:rsid w:val="00E82674"/>
    <w:rsid w:val="00E83863"/>
    <w:rsid w:val="00E84D7F"/>
    <w:rsid w:val="00E860D2"/>
    <w:rsid w:val="00E86119"/>
    <w:rsid w:val="00E86B04"/>
    <w:rsid w:val="00E86E4E"/>
    <w:rsid w:val="00E87517"/>
    <w:rsid w:val="00E87DA0"/>
    <w:rsid w:val="00E87E78"/>
    <w:rsid w:val="00E90D64"/>
    <w:rsid w:val="00E91547"/>
    <w:rsid w:val="00E91CCD"/>
    <w:rsid w:val="00E922D6"/>
    <w:rsid w:val="00E925F5"/>
    <w:rsid w:val="00E92A06"/>
    <w:rsid w:val="00E92DBC"/>
    <w:rsid w:val="00E93D60"/>
    <w:rsid w:val="00E93EFA"/>
    <w:rsid w:val="00E93F0D"/>
    <w:rsid w:val="00E94248"/>
    <w:rsid w:val="00E942EA"/>
    <w:rsid w:val="00E9517C"/>
    <w:rsid w:val="00E96815"/>
    <w:rsid w:val="00E96BD7"/>
    <w:rsid w:val="00E97149"/>
    <w:rsid w:val="00E972C8"/>
    <w:rsid w:val="00E977B5"/>
    <w:rsid w:val="00E97811"/>
    <w:rsid w:val="00E97C43"/>
    <w:rsid w:val="00EA0B4F"/>
    <w:rsid w:val="00EA0D63"/>
    <w:rsid w:val="00EA0E19"/>
    <w:rsid w:val="00EA0F64"/>
    <w:rsid w:val="00EA11A5"/>
    <w:rsid w:val="00EA1ABA"/>
    <w:rsid w:val="00EA1E09"/>
    <w:rsid w:val="00EA284F"/>
    <w:rsid w:val="00EA28DC"/>
    <w:rsid w:val="00EA293B"/>
    <w:rsid w:val="00EA3C01"/>
    <w:rsid w:val="00EA48D8"/>
    <w:rsid w:val="00EA496E"/>
    <w:rsid w:val="00EA4D7D"/>
    <w:rsid w:val="00EA4E85"/>
    <w:rsid w:val="00EA4F97"/>
    <w:rsid w:val="00EA51FB"/>
    <w:rsid w:val="00EA5B0D"/>
    <w:rsid w:val="00EA5CB9"/>
    <w:rsid w:val="00EA63D7"/>
    <w:rsid w:val="00EA6F7E"/>
    <w:rsid w:val="00EB010B"/>
    <w:rsid w:val="00EB0A9F"/>
    <w:rsid w:val="00EB134B"/>
    <w:rsid w:val="00EB14C4"/>
    <w:rsid w:val="00EB14F0"/>
    <w:rsid w:val="00EB1680"/>
    <w:rsid w:val="00EB1EF6"/>
    <w:rsid w:val="00EB2022"/>
    <w:rsid w:val="00EB20E8"/>
    <w:rsid w:val="00EB2771"/>
    <w:rsid w:val="00EB3EE2"/>
    <w:rsid w:val="00EB415D"/>
    <w:rsid w:val="00EB4775"/>
    <w:rsid w:val="00EB5146"/>
    <w:rsid w:val="00EB53DD"/>
    <w:rsid w:val="00EB5F25"/>
    <w:rsid w:val="00EB66F7"/>
    <w:rsid w:val="00EB6731"/>
    <w:rsid w:val="00EB6DE1"/>
    <w:rsid w:val="00EB71CF"/>
    <w:rsid w:val="00EB7277"/>
    <w:rsid w:val="00EC0C77"/>
    <w:rsid w:val="00EC0CEE"/>
    <w:rsid w:val="00EC111A"/>
    <w:rsid w:val="00EC1729"/>
    <w:rsid w:val="00EC1791"/>
    <w:rsid w:val="00EC2858"/>
    <w:rsid w:val="00EC30D5"/>
    <w:rsid w:val="00EC30F6"/>
    <w:rsid w:val="00EC37A3"/>
    <w:rsid w:val="00EC39B9"/>
    <w:rsid w:val="00EC42C8"/>
    <w:rsid w:val="00EC4A2E"/>
    <w:rsid w:val="00EC5333"/>
    <w:rsid w:val="00EC53EE"/>
    <w:rsid w:val="00EC5FC8"/>
    <w:rsid w:val="00EC6BD2"/>
    <w:rsid w:val="00EC6F17"/>
    <w:rsid w:val="00EC7D86"/>
    <w:rsid w:val="00ED043F"/>
    <w:rsid w:val="00ED0636"/>
    <w:rsid w:val="00ED07A3"/>
    <w:rsid w:val="00ED1001"/>
    <w:rsid w:val="00ED13E1"/>
    <w:rsid w:val="00ED23BB"/>
    <w:rsid w:val="00ED2657"/>
    <w:rsid w:val="00ED37A7"/>
    <w:rsid w:val="00ED389D"/>
    <w:rsid w:val="00ED3A9D"/>
    <w:rsid w:val="00ED50BA"/>
    <w:rsid w:val="00ED55C9"/>
    <w:rsid w:val="00ED562F"/>
    <w:rsid w:val="00ED5A5C"/>
    <w:rsid w:val="00ED5BC5"/>
    <w:rsid w:val="00ED5EED"/>
    <w:rsid w:val="00ED662B"/>
    <w:rsid w:val="00ED6716"/>
    <w:rsid w:val="00ED68EE"/>
    <w:rsid w:val="00ED7B37"/>
    <w:rsid w:val="00ED7E62"/>
    <w:rsid w:val="00ED7E6C"/>
    <w:rsid w:val="00ED7F26"/>
    <w:rsid w:val="00EE0684"/>
    <w:rsid w:val="00EE07EB"/>
    <w:rsid w:val="00EE1685"/>
    <w:rsid w:val="00EE17DB"/>
    <w:rsid w:val="00EE1A38"/>
    <w:rsid w:val="00EE21C5"/>
    <w:rsid w:val="00EE2B8B"/>
    <w:rsid w:val="00EE3044"/>
    <w:rsid w:val="00EE333C"/>
    <w:rsid w:val="00EE3798"/>
    <w:rsid w:val="00EE3853"/>
    <w:rsid w:val="00EE3AED"/>
    <w:rsid w:val="00EE4B72"/>
    <w:rsid w:val="00EE5015"/>
    <w:rsid w:val="00EE580D"/>
    <w:rsid w:val="00EE6153"/>
    <w:rsid w:val="00EE61A4"/>
    <w:rsid w:val="00EE6488"/>
    <w:rsid w:val="00EE6786"/>
    <w:rsid w:val="00EE68D6"/>
    <w:rsid w:val="00EE6D00"/>
    <w:rsid w:val="00EE6E54"/>
    <w:rsid w:val="00EE713F"/>
    <w:rsid w:val="00EE714F"/>
    <w:rsid w:val="00EE741F"/>
    <w:rsid w:val="00EE76E4"/>
    <w:rsid w:val="00EE7804"/>
    <w:rsid w:val="00EF0369"/>
    <w:rsid w:val="00EF086D"/>
    <w:rsid w:val="00EF0A83"/>
    <w:rsid w:val="00EF0D09"/>
    <w:rsid w:val="00EF0D7D"/>
    <w:rsid w:val="00EF1229"/>
    <w:rsid w:val="00EF1CAB"/>
    <w:rsid w:val="00EF234A"/>
    <w:rsid w:val="00EF269F"/>
    <w:rsid w:val="00EF2CB6"/>
    <w:rsid w:val="00EF2F72"/>
    <w:rsid w:val="00EF320E"/>
    <w:rsid w:val="00EF3E3B"/>
    <w:rsid w:val="00EF3E72"/>
    <w:rsid w:val="00EF46AA"/>
    <w:rsid w:val="00EF4C3E"/>
    <w:rsid w:val="00EF507F"/>
    <w:rsid w:val="00EF5981"/>
    <w:rsid w:val="00EF5CFD"/>
    <w:rsid w:val="00EF5D02"/>
    <w:rsid w:val="00EF633F"/>
    <w:rsid w:val="00EF6787"/>
    <w:rsid w:val="00EF68C3"/>
    <w:rsid w:val="00EF6AD9"/>
    <w:rsid w:val="00F004C4"/>
    <w:rsid w:val="00F00D39"/>
    <w:rsid w:val="00F013C7"/>
    <w:rsid w:val="00F01638"/>
    <w:rsid w:val="00F01DC6"/>
    <w:rsid w:val="00F026FA"/>
    <w:rsid w:val="00F02DB8"/>
    <w:rsid w:val="00F03C70"/>
    <w:rsid w:val="00F03D74"/>
    <w:rsid w:val="00F041EC"/>
    <w:rsid w:val="00F04544"/>
    <w:rsid w:val="00F04676"/>
    <w:rsid w:val="00F04C2B"/>
    <w:rsid w:val="00F054F6"/>
    <w:rsid w:val="00F05631"/>
    <w:rsid w:val="00F05C44"/>
    <w:rsid w:val="00F0632B"/>
    <w:rsid w:val="00F0758F"/>
    <w:rsid w:val="00F0760D"/>
    <w:rsid w:val="00F07E55"/>
    <w:rsid w:val="00F07E78"/>
    <w:rsid w:val="00F105ED"/>
    <w:rsid w:val="00F10663"/>
    <w:rsid w:val="00F10809"/>
    <w:rsid w:val="00F11844"/>
    <w:rsid w:val="00F11E56"/>
    <w:rsid w:val="00F11E88"/>
    <w:rsid w:val="00F12131"/>
    <w:rsid w:val="00F1263E"/>
    <w:rsid w:val="00F12C6C"/>
    <w:rsid w:val="00F12DCA"/>
    <w:rsid w:val="00F13873"/>
    <w:rsid w:val="00F148A3"/>
    <w:rsid w:val="00F14C86"/>
    <w:rsid w:val="00F15028"/>
    <w:rsid w:val="00F158A9"/>
    <w:rsid w:val="00F15962"/>
    <w:rsid w:val="00F16D2D"/>
    <w:rsid w:val="00F16F42"/>
    <w:rsid w:val="00F17BDF"/>
    <w:rsid w:val="00F20868"/>
    <w:rsid w:val="00F20977"/>
    <w:rsid w:val="00F209EB"/>
    <w:rsid w:val="00F20D52"/>
    <w:rsid w:val="00F211D9"/>
    <w:rsid w:val="00F2125D"/>
    <w:rsid w:val="00F22821"/>
    <w:rsid w:val="00F22C07"/>
    <w:rsid w:val="00F23BC9"/>
    <w:rsid w:val="00F23F5F"/>
    <w:rsid w:val="00F240C0"/>
    <w:rsid w:val="00F241A4"/>
    <w:rsid w:val="00F242E7"/>
    <w:rsid w:val="00F2432B"/>
    <w:rsid w:val="00F244A0"/>
    <w:rsid w:val="00F24758"/>
    <w:rsid w:val="00F24DCD"/>
    <w:rsid w:val="00F24E43"/>
    <w:rsid w:val="00F254A2"/>
    <w:rsid w:val="00F25573"/>
    <w:rsid w:val="00F257E5"/>
    <w:rsid w:val="00F25AC8"/>
    <w:rsid w:val="00F25C30"/>
    <w:rsid w:val="00F26079"/>
    <w:rsid w:val="00F26CD8"/>
    <w:rsid w:val="00F26F89"/>
    <w:rsid w:val="00F272FE"/>
    <w:rsid w:val="00F279F3"/>
    <w:rsid w:val="00F27A6D"/>
    <w:rsid w:val="00F304FC"/>
    <w:rsid w:val="00F30AC0"/>
    <w:rsid w:val="00F30EB0"/>
    <w:rsid w:val="00F31246"/>
    <w:rsid w:val="00F315F2"/>
    <w:rsid w:val="00F3254D"/>
    <w:rsid w:val="00F3281F"/>
    <w:rsid w:val="00F330EF"/>
    <w:rsid w:val="00F3364D"/>
    <w:rsid w:val="00F346C8"/>
    <w:rsid w:val="00F354CB"/>
    <w:rsid w:val="00F35685"/>
    <w:rsid w:val="00F357A0"/>
    <w:rsid w:val="00F35D95"/>
    <w:rsid w:val="00F363B4"/>
    <w:rsid w:val="00F37745"/>
    <w:rsid w:val="00F3791B"/>
    <w:rsid w:val="00F37B50"/>
    <w:rsid w:val="00F37D61"/>
    <w:rsid w:val="00F40028"/>
    <w:rsid w:val="00F40883"/>
    <w:rsid w:val="00F40F37"/>
    <w:rsid w:val="00F41162"/>
    <w:rsid w:val="00F41778"/>
    <w:rsid w:val="00F42243"/>
    <w:rsid w:val="00F422A9"/>
    <w:rsid w:val="00F422D7"/>
    <w:rsid w:val="00F42615"/>
    <w:rsid w:val="00F42653"/>
    <w:rsid w:val="00F429BB"/>
    <w:rsid w:val="00F429D5"/>
    <w:rsid w:val="00F430B7"/>
    <w:rsid w:val="00F43421"/>
    <w:rsid w:val="00F442E9"/>
    <w:rsid w:val="00F4474C"/>
    <w:rsid w:val="00F448BF"/>
    <w:rsid w:val="00F44F25"/>
    <w:rsid w:val="00F45D2C"/>
    <w:rsid w:val="00F460AD"/>
    <w:rsid w:val="00F4657E"/>
    <w:rsid w:val="00F47929"/>
    <w:rsid w:val="00F50191"/>
    <w:rsid w:val="00F507B3"/>
    <w:rsid w:val="00F50FB3"/>
    <w:rsid w:val="00F511D9"/>
    <w:rsid w:val="00F514F9"/>
    <w:rsid w:val="00F51982"/>
    <w:rsid w:val="00F51E99"/>
    <w:rsid w:val="00F5281C"/>
    <w:rsid w:val="00F52A48"/>
    <w:rsid w:val="00F5338A"/>
    <w:rsid w:val="00F53D0F"/>
    <w:rsid w:val="00F53FEC"/>
    <w:rsid w:val="00F54645"/>
    <w:rsid w:val="00F547A6"/>
    <w:rsid w:val="00F54A8B"/>
    <w:rsid w:val="00F55625"/>
    <w:rsid w:val="00F5593E"/>
    <w:rsid w:val="00F55D4A"/>
    <w:rsid w:val="00F55EB7"/>
    <w:rsid w:val="00F55F8B"/>
    <w:rsid w:val="00F564FE"/>
    <w:rsid w:val="00F56A0A"/>
    <w:rsid w:val="00F5742A"/>
    <w:rsid w:val="00F5752A"/>
    <w:rsid w:val="00F579D9"/>
    <w:rsid w:val="00F57F4B"/>
    <w:rsid w:val="00F607F1"/>
    <w:rsid w:val="00F608B4"/>
    <w:rsid w:val="00F60DC0"/>
    <w:rsid w:val="00F61887"/>
    <w:rsid w:val="00F626CF"/>
    <w:rsid w:val="00F6331D"/>
    <w:rsid w:val="00F63DB4"/>
    <w:rsid w:val="00F64301"/>
    <w:rsid w:val="00F64399"/>
    <w:rsid w:val="00F64F1E"/>
    <w:rsid w:val="00F655DD"/>
    <w:rsid w:val="00F65F5A"/>
    <w:rsid w:val="00F66545"/>
    <w:rsid w:val="00F66610"/>
    <w:rsid w:val="00F66D29"/>
    <w:rsid w:val="00F66EF6"/>
    <w:rsid w:val="00F674EA"/>
    <w:rsid w:val="00F6766C"/>
    <w:rsid w:val="00F679B8"/>
    <w:rsid w:val="00F67DB0"/>
    <w:rsid w:val="00F70073"/>
    <w:rsid w:val="00F7008A"/>
    <w:rsid w:val="00F71689"/>
    <w:rsid w:val="00F71BE1"/>
    <w:rsid w:val="00F720F8"/>
    <w:rsid w:val="00F72CD3"/>
    <w:rsid w:val="00F72E54"/>
    <w:rsid w:val="00F73026"/>
    <w:rsid w:val="00F73309"/>
    <w:rsid w:val="00F7336A"/>
    <w:rsid w:val="00F739D6"/>
    <w:rsid w:val="00F751C5"/>
    <w:rsid w:val="00F75A15"/>
    <w:rsid w:val="00F75B19"/>
    <w:rsid w:val="00F75B46"/>
    <w:rsid w:val="00F75C3B"/>
    <w:rsid w:val="00F76E3B"/>
    <w:rsid w:val="00F76E99"/>
    <w:rsid w:val="00F76F24"/>
    <w:rsid w:val="00F77488"/>
    <w:rsid w:val="00F777D2"/>
    <w:rsid w:val="00F80125"/>
    <w:rsid w:val="00F80496"/>
    <w:rsid w:val="00F8078E"/>
    <w:rsid w:val="00F8085B"/>
    <w:rsid w:val="00F80AA6"/>
    <w:rsid w:val="00F81802"/>
    <w:rsid w:val="00F81D6F"/>
    <w:rsid w:val="00F82E10"/>
    <w:rsid w:val="00F82FF3"/>
    <w:rsid w:val="00F83073"/>
    <w:rsid w:val="00F8325C"/>
    <w:rsid w:val="00F83CB2"/>
    <w:rsid w:val="00F84570"/>
    <w:rsid w:val="00F84A26"/>
    <w:rsid w:val="00F84D1B"/>
    <w:rsid w:val="00F84DE9"/>
    <w:rsid w:val="00F84E84"/>
    <w:rsid w:val="00F85283"/>
    <w:rsid w:val="00F85766"/>
    <w:rsid w:val="00F85C5A"/>
    <w:rsid w:val="00F863D6"/>
    <w:rsid w:val="00F86710"/>
    <w:rsid w:val="00F86B86"/>
    <w:rsid w:val="00F86C99"/>
    <w:rsid w:val="00F87147"/>
    <w:rsid w:val="00F90763"/>
    <w:rsid w:val="00F91161"/>
    <w:rsid w:val="00F9123C"/>
    <w:rsid w:val="00F91A3C"/>
    <w:rsid w:val="00F9230D"/>
    <w:rsid w:val="00F925A0"/>
    <w:rsid w:val="00F930BF"/>
    <w:rsid w:val="00F93133"/>
    <w:rsid w:val="00F9336C"/>
    <w:rsid w:val="00F93D7C"/>
    <w:rsid w:val="00F9453C"/>
    <w:rsid w:val="00F95368"/>
    <w:rsid w:val="00F9597A"/>
    <w:rsid w:val="00F95B15"/>
    <w:rsid w:val="00F95CC3"/>
    <w:rsid w:val="00F96058"/>
    <w:rsid w:val="00F96674"/>
    <w:rsid w:val="00F96C59"/>
    <w:rsid w:val="00F96CC1"/>
    <w:rsid w:val="00F97A34"/>
    <w:rsid w:val="00F97A88"/>
    <w:rsid w:val="00F97BD4"/>
    <w:rsid w:val="00F97F5B"/>
    <w:rsid w:val="00FA089B"/>
    <w:rsid w:val="00FA0DE9"/>
    <w:rsid w:val="00FA1337"/>
    <w:rsid w:val="00FA1EE9"/>
    <w:rsid w:val="00FA2B4B"/>
    <w:rsid w:val="00FA336B"/>
    <w:rsid w:val="00FA3586"/>
    <w:rsid w:val="00FA3948"/>
    <w:rsid w:val="00FA3FEE"/>
    <w:rsid w:val="00FA4096"/>
    <w:rsid w:val="00FA4286"/>
    <w:rsid w:val="00FA4311"/>
    <w:rsid w:val="00FA4A38"/>
    <w:rsid w:val="00FA4F16"/>
    <w:rsid w:val="00FA5365"/>
    <w:rsid w:val="00FA54D0"/>
    <w:rsid w:val="00FA5780"/>
    <w:rsid w:val="00FA5B59"/>
    <w:rsid w:val="00FA5DEB"/>
    <w:rsid w:val="00FA5E7E"/>
    <w:rsid w:val="00FA6631"/>
    <w:rsid w:val="00FA7956"/>
    <w:rsid w:val="00FA7C11"/>
    <w:rsid w:val="00FB009B"/>
    <w:rsid w:val="00FB1235"/>
    <w:rsid w:val="00FB1CD5"/>
    <w:rsid w:val="00FB1F61"/>
    <w:rsid w:val="00FB2533"/>
    <w:rsid w:val="00FB297F"/>
    <w:rsid w:val="00FB3972"/>
    <w:rsid w:val="00FB3DCD"/>
    <w:rsid w:val="00FB4C57"/>
    <w:rsid w:val="00FB5B2E"/>
    <w:rsid w:val="00FB5D74"/>
    <w:rsid w:val="00FB5E8A"/>
    <w:rsid w:val="00FB60AA"/>
    <w:rsid w:val="00FB66B7"/>
    <w:rsid w:val="00FB6902"/>
    <w:rsid w:val="00FB7A1A"/>
    <w:rsid w:val="00FB7E31"/>
    <w:rsid w:val="00FB7E95"/>
    <w:rsid w:val="00FC0A96"/>
    <w:rsid w:val="00FC196F"/>
    <w:rsid w:val="00FC19A3"/>
    <w:rsid w:val="00FC1CA1"/>
    <w:rsid w:val="00FC26EA"/>
    <w:rsid w:val="00FC3121"/>
    <w:rsid w:val="00FC31BC"/>
    <w:rsid w:val="00FC3216"/>
    <w:rsid w:val="00FC3A11"/>
    <w:rsid w:val="00FC3C0C"/>
    <w:rsid w:val="00FC3FB4"/>
    <w:rsid w:val="00FC41F8"/>
    <w:rsid w:val="00FC4239"/>
    <w:rsid w:val="00FC45EE"/>
    <w:rsid w:val="00FC471F"/>
    <w:rsid w:val="00FC487A"/>
    <w:rsid w:val="00FC6279"/>
    <w:rsid w:val="00FC646C"/>
    <w:rsid w:val="00FD0826"/>
    <w:rsid w:val="00FD0A0E"/>
    <w:rsid w:val="00FD0A7E"/>
    <w:rsid w:val="00FD0BF2"/>
    <w:rsid w:val="00FD0E24"/>
    <w:rsid w:val="00FD15CF"/>
    <w:rsid w:val="00FD21DF"/>
    <w:rsid w:val="00FD2919"/>
    <w:rsid w:val="00FD29FE"/>
    <w:rsid w:val="00FD2FF1"/>
    <w:rsid w:val="00FD3012"/>
    <w:rsid w:val="00FD305E"/>
    <w:rsid w:val="00FD3A89"/>
    <w:rsid w:val="00FD3E2F"/>
    <w:rsid w:val="00FD4BF2"/>
    <w:rsid w:val="00FD57D6"/>
    <w:rsid w:val="00FD5811"/>
    <w:rsid w:val="00FD5825"/>
    <w:rsid w:val="00FD59BF"/>
    <w:rsid w:val="00FD6135"/>
    <w:rsid w:val="00FD629F"/>
    <w:rsid w:val="00FD63B9"/>
    <w:rsid w:val="00FD6743"/>
    <w:rsid w:val="00FD6F85"/>
    <w:rsid w:val="00FD7035"/>
    <w:rsid w:val="00FE01C1"/>
    <w:rsid w:val="00FE04D9"/>
    <w:rsid w:val="00FE1C95"/>
    <w:rsid w:val="00FE280C"/>
    <w:rsid w:val="00FE296F"/>
    <w:rsid w:val="00FE2B06"/>
    <w:rsid w:val="00FE34DC"/>
    <w:rsid w:val="00FE3731"/>
    <w:rsid w:val="00FE3F25"/>
    <w:rsid w:val="00FE4033"/>
    <w:rsid w:val="00FE42CE"/>
    <w:rsid w:val="00FE4A89"/>
    <w:rsid w:val="00FE4E1A"/>
    <w:rsid w:val="00FE5476"/>
    <w:rsid w:val="00FE5583"/>
    <w:rsid w:val="00FE5C97"/>
    <w:rsid w:val="00FE5D05"/>
    <w:rsid w:val="00FE6124"/>
    <w:rsid w:val="00FE6395"/>
    <w:rsid w:val="00FE71B3"/>
    <w:rsid w:val="00FE7D59"/>
    <w:rsid w:val="00FF0AEC"/>
    <w:rsid w:val="00FF0CB7"/>
    <w:rsid w:val="00FF0FDF"/>
    <w:rsid w:val="00FF1F40"/>
    <w:rsid w:val="00FF279B"/>
    <w:rsid w:val="00FF2E7F"/>
    <w:rsid w:val="00FF31A4"/>
    <w:rsid w:val="00FF449C"/>
    <w:rsid w:val="00FF4AD4"/>
    <w:rsid w:val="00FF4EAA"/>
    <w:rsid w:val="00FF518E"/>
    <w:rsid w:val="00FF63AC"/>
    <w:rsid w:val="00FF6879"/>
    <w:rsid w:val="00FF6ED6"/>
    <w:rsid w:val="00FF738E"/>
    <w:rsid w:val="00FF7DEC"/>
    <w:rsid w:val="00FF7FFA"/>
    <w:rsid w:val="03DE7A44"/>
    <w:rsid w:val="05D29510"/>
    <w:rsid w:val="06BCDB03"/>
    <w:rsid w:val="0744C444"/>
    <w:rsid w:val="080D4288"/>
    <w:rsid w:val="08ECC9DB"/>
    <w:rsid w:val="0BE2C9D4"/>
    <w:rsid w:val="0D6549CA"/>
    <w:rsid w:val="0EAF7A11"/>
    <w:rsid w:val="0F7B1A76"/>
    <w:rsid w:val="102BFD8F"/>
    <w:rsid w:val="12B1DB70"/>
    <w:rsid w:val="1344BD00"/>
    <w:rsid w:val="134B3852"/>
    <w:rsid w:val="136F30DD"/>
    <w:rsid w:val="1494EC04"/>
    <w:rsid w:val="14A7ADC6"/>
    <w:rsid w:val="15DA8400"/>
    <w:rsid w:val="160B2AD1"/>
    <w:rsid w:val="162B6C2E"/>
    <w:rsid w:val="171E50BA"/>
    <w:rsid w:val="17CB76D5"/>
    <w:rsid w:val="183D999C"/>
    <w:rsid w:val="1AA28038"/>
    <w:rsid w:val="1B81A175"/>
    <w:rsid w:val="1C823BEA"/>
    <w:rsid w:val="1D1A0AA0"/>
    <w:rsid w:val="1D25327E"/>
    <w:rsid w:val="1EC6DD71"/>
    <w:rsid w:val="1EF7E28E"/>
    <w:rsid w:val="1F53EC6F"/>
    <w:rsid w:val="21655EBB"/>
    <w:rsid w:val="224AA34D"/>
    <w:rsid w:val="2268E493"/>
    <w:rsid w:val="22F5C6ED"/>
    <w:rsid w:val="22FBB5CE"/>
    <w:rsid w:val="23EF4AD1"/>
    <w:rsid w:val="24F2E411"/>
    <w:rsid w:val="251BB001"/>
    <w:rsid w:val="25B91F57"/>
    <w:rsid w:val="2757439F"/>
    <w:rsid w:val="2806292D"/>
    <w:rsid w:val="292CBEBF"/>
    <w:rsid w:val="29881E16"/>
    <w:rsid w:val="29A78F40"/>
    <w:rsid w:val="2A91DC52"/>
    <w:rsid w:val="2B5C8DAF"/>
    <w:rsid w:val="2D03806B"/>
    <w:rsid w:val="2D897232"/>
    <w:rsid w:val="2E4FA57B"/>
    <w:rsid w:val="2ECFAB7F"/>
    <w:rsid w:val="2FCAC385"/>
    <w:rsid w:val="3001D99C"/>
    <w:rsid w:val="302CD086"/>
    <w:rsid w:val="30F83716"/>
    <w:rsid w:val="32A83900"/>
    <w:rsid w:val="3321AA45"/>
    <w:rsid w:val="3399CA39"/>
    <w:rsid w:val="3423E165"/>
    <w:rsid w:val="3451944E"/>
    <w:rsid w:val="35E2B80D"/>
    <w:rsid w:val="3691FD37"/>
    <w:rsid w:val="3693528D"/>
    <w:rsid w:val="37E44EB1"/>
    <w:rsid w:val="39D3B877"/>
    <w:rsid w:val="3A43AD0E"/>
    <w:rsid w:val="3A60C90B"/>
    <w:rsid w:val="3A8CEA8B"/>
    <w:rsid w:val="3ABB3471"/>
    <w:rsid w:val="3CE60FBC"/>
    <w:rsid w:val="3DAFDAD9"/>
    <w:rsid w:val="3EA6912A"/>
    <w:rsid w:val="3F0D7725"/>
    <w:rsid w:val="3F192264"/>
    <w:rsid w:val="3F38D851"/>
    <w:rsid w:val="3F6B6E45"/>
    <w:rsid w:val="4032EE89"/>
    <w:rsid w:val="40447519"/>
    <w:rsid w:val="406B5383"/>
    <w:rsid w:val="415F521A"/>
    <w:rsid w:val="455A1680"/>
    <w:rsid w:val="4852428D"/>
    <w:rsid w:val="499901A3"/>
    <w:rsid w:val="4B803592"/>
    <w:rsid w:val="4D7F3CFE"/>
    <w:rsid w:val="4DC558BD"/>
    <w:rsid w:val="502B1527"/>
    <w:rsid w:val="511BEA83"/>
    <w:rsid w:val="5154F88C"/>
    <w:rsid w:val="53C8A2A2"/>
    <w:rsid w:val="54EA03F0"/>
    <w:rsid w:val="57694AAD"/>
    <w:rsid w:val="59904E35"/>
    <w:rsid w:val="59E814A0"/>
    <w:rsid w:val="5A0290FB"/>
    <w:rsid w:val="5D8568FF"/>
    <w:rsid w:val="5DDA317A"/>
    <w:rsid w:val="5E5D5F8F"/>
    <w:rsid w:val="5F1C2298"/>
    <w:rsid w:val="5F2D4E09"/>
    <w:rsid w:val="5F99EA7C"/>
    <w:rsid w:val="5FA3F7B2"/>
    <w:rsid w:val="6011AE9D"/>
    <w:rsid w:val="606C1AB2"/>
    <w:rsid w:val="609DF6C7"/>
    <w:rsid w:val="62235414"/>
    <w:rsid w:val="63D6C426"/>
    <w:rsid w:val="642E7826"/>
    <w:rsid w:val="645A282E"/>
    <w:rsid w:val="659533D4"/>
    <w:rsid w:val="66896B02"/>
    <w:rsid w:val="669D6AED"/>
    <w:rsid w:val="66BB814E"/>
    <w:rsid w:val="66F0C078"/>
    <w:rsid w:val="69A21725"/>
    <w:rsid w:val="6C0DFBC3"/>
    <w:rsid w:val="6CB7638E"/>
    <w:rsid w:val="6CE2B0AC"/>
    <w:rsid w:val="6D3C54C4"/>
    <w:rsid w:val="6F24E4DC"/>
    <w:rsid w:val="6F50CA9B"/>
    <w:rsid w:val="6FDDAE47"/>
    <w:rsid w:val="7239E207"/>
    <w:rsid w:val="72749750"/>
    <w:rsid w:val="72D784DC"/>
    <w:rsid w:val="7315F8BF"/>
    <w:rsid w:val="73511906"/>
    <w:rsid w:val="741A897D"/>
    <w:rsid w:val="75BA40D3"/>
    <w:rsid w:val="76CBFC2F"/>
    <w:rsid w:val="77AD5FDB"/>
    <w:rsid w:val="7837017A"/>
    <w:rsid w:val="784FB6E3"/>
    <w:rsid w:val="7954ECD1"/>
    <w:rsid w:val="797791AC"/>
    <w:rsid w:val="7AC5C328"/>
    <w:rsid w:val="7B40F88F"/>
    <w:rsid w:val="7C57DE88"/>
    <w:rsid w:val="7DD57E1D"/>
    <w:rsid w:val="7DE0EDF0"/>
    <w:rsid w:val="7E644D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219D8D"/>
  <w14:defaultImageDpi w14:val="96"/>
  <w15:docId w15:val="{A8FF96B1-0611-4F68-80C1-C3416B971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C44240"/>
  </w:style>
  <w:style w:type="paragraph" w:styleId="Heading1">
    <w:name w:val="heading 1"/>
    <w:basedOn w:val="Normal"/>
    <w:next w:val="Normal"/>
    <w:link w:val="Heading1Char"/>
    <w:uiPriority w:val="9"/>
    <w:qFormat/>
    <w:rsid w:val="00C442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qFormat/>
    <w:rsid w:val="00C442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42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rsid w:val="00C44240"/>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rmal"/>
    <w:qFormat/>
    <w:rsid w:val="009B6E96"/>
    <w:rPr>
      <w:rFonts w:ascii="Arial" w:hAnsi="Arial" w:cs="Arial"/>
      <w:sz w:val="24"/>
      <w:szCs w:val="24"/>
    </w:rPr>
  </w:style>
  <w:style w:type="paragraph" w:customStyle="1" w:styleId="STPR2BodyBold">
    <w:name w:val="STPR2_Body Bold"/>
    <w:basedOn w:val="STPR2BodyText"/>
    <w:uiPriority w:val="1"/>
    <w:rsid w:val="00C44240"/>
    <w:rPr>
      <w:b/>
      <w:bCs/>
    </w:rPr>
  </w:style>
  <w:style w:type="paragraph" w:customStyle="1" w:styleId="STPR2BodyItalics">
    <w:name w:val="STPR2_Body Italics"/>
    <w:basedOn w:val="STPR2BodyText"/>
    <w:uiPriority w:val="2"/>
    <w:rsid w:val="00C44240"/>
    <w:rPr>
      <w:i/>
      <w:iCs/>
    </w:rPr>
  </w:style>
  <w:style w:type="paragraph" w:customStyle="1" w:styleId="STPR2BodyItalicsBold">
    <w:name w:val="STPR2_Body Italics Bold"/>
    <w:basedOn w:val="STPR2BodyItalics"/>
    <w:uiPriority w:val="3"/>
    <w:rsid w:val="00C44240"/>
    <w:rPr>
      <w:b/>
      <w:bCs/>
    </w:rPr>
  </w:style>
  <w:style w:type="paragraph" w:customStyle="1" w:styleId="STPR2Heading1">
    <w:name w:val="STPR2_Heading 1"/>
    <w:basedOn w:val="Normal"/>
    <w:uiPriority w:val="4"/>
    <w:qFormat/>
    <w:rsid w:val="00C44240"/>
    <w:pPr>
      <w:widowControl w:val="0"/>
      <w:numPr>
        <w:numId w:val="10"/>
      </w:numPr>
      <w:suppressAutoHyphens/>
      <w:autoSpaceDE w:val="0"/>
      <w:autoSpaceDN w:val="0"/>
      <w:adjustRightInd w:val="0"/>
      <w:spacing w:after="240" w:line="240" w:lineRule="auto"/>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C44240"/>
    <w:pPr>
      <w:numPr>
        <w:ilvl w:val="1"/>
      </w:numPr>
      <w:spacing w:after="160"/>
      <w:outlineLvl w:val="1"/>
    </w:pPr>
    <w:rPr>
      <w:color w:val="626266"/>
      <w:sz w:val="28"/>
      <w:szCs w:val="28"/>
    </w:rPr>
  </w:style>
  <w:style w:type="paragraph" w:customStyle="1" w:styleId="STPR2Heading3">
    <w:name w:val="STPR2_Heading 3"/>
    <w:basedOn w:val="STPR2BodyText"/>
    <w:uiPriority w:val="6"/>
    <w:qFormat/>
    <w:rsid w:val="00C44240"/>
    <w:pPr>
      <w:shd w:val="clear" w:color="auto" w:fill="8CC540"/>
      <w:outlineLvl w:val="2"/>
    </w:pPr>
    <w:rPr>
      <w:b/>
      <w:bCs/>
    </w:rPr>
  </w:style>
  <w:style w:type="paragraph" w:customStyle="1" w:styleId="STPR2BulletsLevel1">
    <w:name w:val="STPR2_Bullets Level 1"/>
    <w:basedOn w:val="STPR2BodyText"/>
    <w:uiPriority w:val="7"/>
    <w:qFormat/>
    <w:rsid w:val="00C44240"/>
    <w:pPr>
      <w:numPr>
        <w:numId w:val="5"/>
      </w:numPr>
      <w:contextualSpacing/>
    </w:pPr>
  </w:style>
  <w:style w:type="paragraph" w:customStyle="1" w:styleId="STPR2BulletsLevel2">
    <w:name w:val="STPR2_Bullets Level 2"/>
    <w:basedOn w:val="STPR2BulletsLevel1"/>
    <w:uiPriority w:val="7"/>
    <w:qFormat/>
    <w:rsid w:val="00C44240"/>
    <w:pPr>
      <w:numPr>
        <w:numId w:val="6"/>
      </w:numPr>
    </w:pPr>
  </w:style>
  <w:style w:type="paragraph" w:customStyle="1" w:styleId="STPR2NumberList">
    <w:name w:val="STPR2_Number List"/>
    <w:basedOn w:val="STPR2BodyText"/>
    <w:uiPriority w:val="9"/>
    <w:rsid w:val="00C44240"/>
    <w:pPr>
      <w:numPr>
        <w:numId w:val="12"/>
      </w:numPr>
      <w:contextualSpacing/>
    </w:pPr>
  </w:style>
  <w:style w:type="paragraph" w:customStyle="1" w:styleId="STPR2LetterList">
    <w:name w:val="STPR2_Letter List"/>
    <w:basedOn w:val="STPR2BodyText"/>
    <w:uiPriority w:val="10"/>
    <w:rsid w:val="00C44240"/>
    <w:pPr>
      <w:numPr>
        <w:numId w:val="11"/>
      </w:numPr>
      <w:tabs>
        <w:tab w:val="left" w:pos="283"/>
      </w:tabs>
      <w:contextualSpacing/>
    </w:pPr>
  </w:style>
  <w:style w:type="paragraph" w:customStyle="1" w:styleId="STPR2TableBody">
    <w:name w:val="STPR2_Table Body"/>
    <w:basedOn w:val="STPR2BodyText"/>
    <w:uiPriority w:val="11"/>
    <w:rsid w:val="00C44240"/>
    <w:pPr>
      <w:spacing w:before="80" w:after="80"/>
    </w:pPr>
    <w:rPr>
      <w:szCs w:val="18"/>
    </w:rPr>
  </w:style>
  <w:style w:type="paragraph" w:customStyle="1" w:styleId="STPR2TableHeading">
    <w:name w:val="STPR2_Table Heading"/>
    <w:basedOn w:val="STPR2TableBody"/>
    <w:uiPriority w:val="12"/>
    <w:rsid w:val="00C44240"/>
    <w:rPr>
      <w:rFonts w:ascii="Wingdings" w:hAnsi="Wingdings"/>
      <w:b/>
      <w:bCs/>
      <w:caps/>
      <w:color w:val="FFFFFF" w:themeColor="background1"/>
    </w:rPr>
  </w:style>
  <w:style w:type="paragraph" w:customStyle="1" w:styleId="STPR2TableBullets">
    <w:name w:val="STPR2_Table Bullets"/>
    <w:basedOn w:val="STPR2TableBody"/>
    <w:uiPriority w:val="13"/>
    <w:rsid w:val="00C44240"/>
    <w:pPr>
      <w:numPr>
        <w:numId w:val="13"/>
      </w:numPr>
      <w:tabs>
        <w:tab w:val="left" w:pos="170"/>
        <w:tab w:val="left" w:pos="283"/>
      </w:tabs>
      <w:contextualSpacing/>
    </w:pPr>
  </w:style>
  <w:style w:type="paragraph" w:customStyle="1" w:styleId="STPR2TableNumberList">
    <w:name w:val="STPR2_Table Number List"/>
    <w:basedOn w:val="STPR2TableBullets"/>
    <w:uiPriority w:val="14"/>
    <w:rsid w:val="00C44240"/>
    <w:pPr>
      <w:numPr>
        <w:numId w:val="14"/>
      </w:numPr>
    </w:pPr>
  </w:style>
  <w:style w:type="paragraph" w:customStyle="1" w:styleId="STPR2BodyCentred">
    <w:name w:val="STPR2_Body Centred"/>
    <w:basedOn w:val="STPR2BodyText"/>
    <w:uiPriority w:val="16"/>
    <w:rsid w:val="00C44240"/>
    <w:pPr>
      <w:jc w:val="center"/>
    </w:pPr>
  </w:style>
  <w:style w:type="paragraph" w:customStyle="1" w:styleId="STPR2BodyCentredBold">
    <w:name w:val="STPR2_Body Centred Bold"/>
    <w:basedOn w:val="STPR2BodyCentred"/>
    <w:uiPriority w:val="17"/>
    <w:rsid w:val="00C44240"/>
    <w:rPr>
      <w:b/>
      <w:bCs/>
    </w:rPr>
  </w:style>
  <w:style w:type="paragraph" w:customStyle="1" w:styleId="STPR2BodyCentredItalic">
    <w:name w:val="STPR2_Body Centred Italic"/>
    <w:basedOn w:val="STPR2BodyText"/>
    <w:uiPriority w:val="18"/>
    <w:rsid w:val="00C44240"/>
    <w:pPr>
      <w:jc w:val="center"/>
    </w:pPr>
    <w:rPr>
      <w:i/>
      <w:iCs/>
    </w:rPr>
  </w:style>
  <w:style w:type="paragraph" w:customStyle="1" w:styleId="STPR2Caption">
    <w:name w:val="STPR2_Caption"/>
    <w:basedOn w:val="STPR2BodyText"/>
    <w:uiPriority w:val="19"/>
    <w:qFormat/>
    <w:rsid w:val="00C44240"/>
    <w:rPr>
      <w:i/>
      <w:iCs/>
      <w:color w:val="009FE3"/>
      <w:szCs w:val="16"/>
    </w:rPr>
  </w:style>
  <w:style w:type="paragraph" w:customStyle="1" w:styleId="STPR2Footnote">
    <w:name w:val="STPR2_Footnote"/>
    <w:basedOn w:val="STPR2BodyText"/>
    <w:uiPriority w:val="20"/>
    <w:qFormat/>
    <w:rsid w:val="00C44240"/>
    <w:pPr>
      <w:spacing w:line="200" w:lineRule="atLeast"/>
    </w:pPr>
    <w:rPr>
      <w:szCs w:val="16"/>
    </w:rPr>
  </w:style>
  <w:style w:type="paragraph" w:customStyle="1" w:styleId="STPR2Title1">
    <w:name w:val="STPR2_Title 1"/>
    <w:basedOn w:val="NoParagraphStyle"/>
    <w:uiPriority w:val="21"/>
    <w:qFormat/>
    <w:rsid w:val="00C44240"/>
    <w:pPr>
      <w:suppressAutoHyphens/>
      <w:spacing w:after="113" w:line="800" w:lineRule="atLeast"/>
    </w:pPr>
    <w:rPr>
      <w:rFonts w:ascii="Arial" w:hAnsi="Arial" w:cs="Arial"/>
      <w:b/>
      <w:bCs/>
      <w:sz w:val="84"/>
      <w:szCs w:val="84"/>
    </w:rPr>
  </w:style>
  <w:style w:type="paragraph" w:customStyle="1" w:styleId="STPR2Title2">
    <w:name w:val="STPR2_Title 2"/>
    <w:basedOn w:val="Normal"/>
    <w:uiPriority w:val="22"/>
    <w:qFormat/>
    <w:rsid w:val="00C44240"/>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C4424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44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4240"/>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C44240"/>
    <w:rPr>
      <w:rFonts w:ascii="Arial" w:hAnsi="Arial" w:cs="Arial"/>
      <w:b/>
      <w:color w:val="626266"/>
      <w:sz w:val="18"/>
      <w:szCs w:val="18"/>
    </w:rPr>
  </w:style>
  <w:style w:type="paragraph" w:styleId="Footer">
    <w:name w:val="footer"/>
    <w:basedOn w:val="Normal"/>
    <w:link w:val="FooterChar"/>
    <w:uiPriority w:val="99"/>
    <w:unhideWhenUsed/>
    <w:rsid w:val="00C44240"/>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C44240"/>
    <w:rPr>
      <w:rFonts w:ascii="Arial" w:hAnsi="Arial" w:cs="Arial"/>
      <w:color w:val="626266"/>
      <w:sz w:val="18"/>
      <w:szCs w:val="18"/>
    </w:rPr>
  </w:style>
  <w:style w:type="table" w:styleId="GridTable1Light">
    <w:name w:val="Grid Table 1 Light"/>
    <w:basedOn w:val="TableNormal"/>
    <w:uiPriority w:val="46"/>
    <w:rsid w:val="00C4424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C4424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44240"/>
    <w:pPr>
      <w:spacing w:before="0" w:after="240"/>
      <w:outlineLvl w:val="9"/>
    </w:pPr>
    <w:rPr>
      <w:rFonts w:ascii="Arial" w:hAnsi="Arial" w:cs="Arial"/>
      <w:b/>
      <w:color w:val="F38B33"/>
      <w:sz w:val="36"/>
      <w:szCs w:val="36"/>
      <w:lang w:val="en-US" w:eastAsia="en-US"/>
    </w:rPr>
  </w:style>
  <w:style w:type="character" w:customStyle="1" w:styleId="Heading2Char">
    <w:name w:val="Heading 2 Char"/>
    <w:basedOn w:val="DefaultParagraphFont"/>
    <w:link w:val="Heading2"/>
    <w:uiPriority w:val="9"/>
    <w:semiHidden/>
    <w:rsid w:val="00C4424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44240"/>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C44240"/>
    <w:pPr>
      <w:tabs>
        <w:tab w:val="right" w:leader="dot" w:pos="9628"/>
      </w:tabs>
      <w:spacing w:after="100"/>
      <w:ind w:left="567" w:hanging="567"/>
    </w:pPr>
    <w:rPr>
      <w:rFonts w:ascii="Arial" w:hAnsi="Arial" w:cs="Arial"/>
      <w:b/>
      <w:noProof/>
      <w:color w:val="626266"/>
      <w:sz w:val="20"/>
      <w:szCs w:val="20"/>
    </w:rPr>
  </w:style>
  <w:style w:type="paragraph" w:styleId="TOC2">
    <w:name w:val="toc 2"/>
    <w:basedOn w:val="Normal"/>
    <w:next w:val="Normal"/>
    <w:autoRedefine/>
    <w:uiPriority w:val="39"/>
    <w:unhideWhenUsed/>
    <w:rsid w:val="00C44240"/>
    <w:pPr>
      <w:tabs>
        <w:tab w:val="right" w:leader="dot" w:pos="9628"/>
      </w:tabs>
      <w:spacing w:after="100"/>
      <w:ind w:left="993" w:hanging="426"/>
      <w:contextualSpacing/>
    </w:pPr>
    <w:rPr>
      <w:rFonts w:ascii="Arial" w:hAnsi="Arial" w:cs="Arial"/>
      <w:noProof/>
      <w:color w:val="626266"/>
      <w:sz w:val="20"/>
      <w:szCs w:val="20"/>
    </w:rPr>
  </w:style>
  <w:style w:type="paragraph" w:styleId="TOC3">
    <w:name w:val="toc 3"/>
    <w:basedOn w:val="Normal"/>
    <w:next w:val="Normal"/>
    <w:autoRedefine/>
    <w:uiPriority w:val="39"/>
    <w:unhideWhenUsed/>
    <w:rsid w:val="00C44240"/>
    <w:pPr>
      <w:tabs>
        <w:tab w:val="left" w:pos="1418"/>
        <w:tab w:val="right" w:leader="dot" w:pos="9639"/>
      </w:tabs>
      <w:spacing w:after="100"/>
      <w:ind w:left="1134" w:hanging="567"/>
      <w:contextualSpacing/>
    </w:pPr>
    <w:rPr>
      <w:rFonts w:ascii="Arial" w:hAnsi="Arial" w:cs="Arial"/>
      <w:i/>
      <w:noProof/>
      <w:color w:val="626266"/>
      <w:sz w:val="20"/>
      <w:szCs w:val="20"/>
    </w:rPr>
  </w:style>
  <w:style w:type="character" w:styleId="Hyperlink">
    <w:name w:val="Hyperlink"/>
    <w:basedOn w:val="DefaultParagraphFont"/>
    <w:uiPriority w:val="99"/>
    <w:unhideWhenUsed/>
    <w:rsid w:val="00C44240"/>
    <w:rPr>
      <w:color w:val="0563C1" w:themeColor="hyperlink"/>
      <w:u w:val="single"/>
    </w:rPr>
  </w:style>
  <w:style w:type="paragraph" w:customStyle="1" w:styleId="STPR2Heading1Nonumbering">
    <w:name w:val="STPR2_Heading 1_No numbering"/>
    <w:basedOn w:val="STPR2Heading1"/>
    <w:uiPriority w:val="23"/>
    <w:qFormat/>
    <w:rsid w:val="00C44240"/>
    <w:pPr>
      <w:numPr>
        <w:numId w:val="0"/>
      </w:numPr>
    </w:pPr>
  </w:style>
  <w:style w:type="paragraph" w:customStyle="1" w:styleId="STPR2AppendicesHeading1">
    <w:name w:val="STPR2_Appendices_Heading 1"/>
    <w:basedOn w:val="STPR2Heading1Nonumbering"/>
    <w:uiPriority w:val="23"/>
    <w:qFormat/>
    <w:rsid w:val="00C44240"/>
  </w:style>
  <w:style w:type="paragraph" w:customStyle="1" w:styleId="STPR2AppendicesHeading2">
    <w:name w:val="STPR2_Appendices_Heading 2"/>
    <w:basedOn w:val="STPR2Heading2"/>
    <w:uiPriority w:val="23"/>
    <w:qFormat/>
    <w:rsid w:val="00C44240"/>
    <w:pPr>
      <w:numPr>
        <w:ilvl w:val="0"/>
        <w:numId w:val="0"/>
      </w:numPr>
      <w:ind w:left="567" w:hanging="567"/>
    </w:pPr>
  </w:style>
  <w:style w:type="paragraph" w:customStyle="1" w:styleId="STPR2Title3">
    <w:name w:val="STPR2_Title 3"/>
    <w:basedOn w:val="Normal"/>
    <w:uiPriority w:val="23"/>
    <w:qFormat/>
    <w:rsid w:val="00C44240"/>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character" w:customStyle="1" w:styleId="UnresolvedMention1">
    <w:name w:val="Unresolved Mention1"/>
    <w:basedOn w:val="DefaultParagraphFont"/>
    <w:uiPriority w:val="99"/>
    <w:semiHidden/>
    <w:unhideWhenUsed/>
    <w:rsid w:val="00C44240"/>
    <w:rPr>
      <w:color w:val="605E5C"/>
      <w:shd w:val="clear" w:color="auto" w:fill="E1DFDD"/>
    </w:rPr>
  </w:style>
  <w:style w:type="paragraph" w:customStyle="1" w:styleId="STPR2ProofBoxHeader">
    <w:name w:val="STPR2_Proof Box_Header"/>
    <w:basedOn w:val="STPR2BodyBold"/>
    <w:uiPriority w:val="3"/>
    <w:rsid w:val="00C44240"/>
    <w:pPr>
      <w:spacing w:after="80"/>
    </w:pPr>
    <w:rPr>
      <w:i/>
      <w:color w:val="009FE3"/>
    </w:rPr>
  </w:style>
  <w:style w:type="paragraph" w:customStyle="1" w:styleId="STPR2ProofBoxNormal">
    <w:name w:val="STPR2_Proof Box_Normal"/>
    <w:basedOn w:val="STPR2BodyText"/>
    <w:uiPriority w:val="3"/>
    <w:qFormat/>
    <w:rsid w:val="00C44240"/>
    <w:pPr>
      <w:spacing w:after="80"/>
    </w:pPr>
    <w:rPr>
      <w:i/>
    </w:rPr>
  </w:style>
  <w:style w:type="table" w:styleId="ListTable4-Accent6">
    <w:name w:val="List Table 4 Accent 6"/>
    <w:aliases w:val="STPR2"/>
    <w:basedOn w:val="TableNormal"/>
    <w:uiPriority w:val="49"/>
    <w:rsid w:val="00C44240"/>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C442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240"/>
    <w:rPr>
      <w:rFonts w:ascii="Segoe UI" w:hAnsi="Segoe UI" w:cs="Segoe UI"/>
      <w:sz w:val="18"/>
      <w:szCs w:val="18"/>
    </w:rPr>
  </w:style>
  <w:style w:type="paragraph" w:styleId="Caption">
    <w:name w:val="caption"/>
    <w:aliases w:val="The caption,Figures"/>
    <w:basedOn w:val="STPR2BodyText"/>
    <w:next w:val="Normal"/>
    <w:uiPriority w:val="35"/>
    <w:unhideWhenUsed/>
    <w:qFormat/>
    <w:rsid w:val="00C44240"/>
    <w:rPr>
      <w:b/>
      <w:sz w:val="22"/>
    </w:rPr>
  </w:style>
  <w:style w:type="paragraph" w:styleId="ListParagraph">
    <w:name w:val="List Paragraph"/>
    <w:basedOn w:val="Normal"/>
    <w:link w:val="ListParagraphChar"/>
    <w:uiPriority w:val="34"/>
    <w:qFormat/>
    <w:rsid w:val="00C44240"/>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C44240"/>
    <w:rPr>
      <w:sz w:val="16"/>
      <w:szCs w:val="16"/>
    </w:rPr>
  </w:style>
  <w:style w:type="paragraph" w:styleId="CommentText">
    <w:name w:val="annotation text"/>
    <w:basedOn w:val="Normal"/>
    <w:link w:val="CommentTextChar"/>
    <w:uiPriority w:val="99"/>
    <w:unhideWhenUsed/>
    <w:rsid w:val="00C44240"/>
    <w:pPr>
      <w:spacing w:line="240" w:lineRule="auto"/>
    </w:pPr>
    <w:rPr>
      <w:sz w:val="20"/>
      <w:szCs w:val="20"/>
    </w:rPr>
  </w:style>
  <w:style w:type="character" w:customStyle="1" w:styleId="CommentTextChar">
    <w:name w:val="Comment Text Char"/>
    <w:basedOn w:val="DefaultParagraphFont"/>
    <w:link w:val="CommentText"/>
    <w:uiPriority w:val="99"/>
    <w:rsid w:val="00C44240"/>
    <w:rPr>
      <w:sz w:val="20"/>
      <w:szCs w:val="20"/>
    </w:rPr>
  </w:style>
  <w:style w:type="paragraph" w:styleId="CommentSubject">
    <w:name w:val="annotation subject"/>
    <w:basedOn w:val="CommentText"/>
    <w:next w:val="CommentText"/>
    <w:link w:val="CommentSubjectChar"/>
    <w:uiPriority w:val="99"/>
    <w:unhideWhenUsed/>
    <w:rsid w:val="00C44240"/>
    <w:rPr>
      <w:b/>
      <w:bCs/>
    </w:rPr>
  </w:style>
  <w:style w:type="character" w:customStyle="1" w:styleId="CommentSubjectChar">
    <w:name w:val="Comment Subject Char"/>
    <w:basedOn w:val="CommentTextChar"/>
    <w:link w:val="CommentSubject"/>
    <w:uiPriority w:val="99"/>
    <w:rsid w:val="00C44240"/>
    <w:rPr>
      <w:b/>
      <w:bCs/>
      <w:sz w:val="20"/>
      <w:szCs w:val="20"/>
    </w:rPr>
  </w:style>
  <w:style w:type="paragraph" w:styleId="ListBullet">
    <w:name w:val="List Bullet"/>
    <w:basedOn w:val="Normal"/>
    <w:uiPriority w:val="99"/>
    <w:qFormat/>
    <w:rsid w:val="00C44240"/>
    <w:pPr>
      <w:numPr>
        <w:numId w:val="7"/>
      </w:numPr>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C44240"/>
    <w:pPr>
      <w:numPr>
        <w:ilvl w:val="1"/>
        <w:numId w:val="7"/>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C44240"/>
    <w:pPr>
      <w:numPr>
        <w:ilvl w:val="2"/>
        <w:numId w:val="7"/>
      </w:numPr>
      <w:spacing w:after="120" w:line="240" w:lineRule="atLeast"/>
    </w:pPr>
    <w:rPr>
      <w:rFonts w:eastAsiaTheme="minorHAnsi"/>
      <w:kern w:val="18"/>
      <w:sz w:val="18"/>
      <w:szCs w:val="18"/>
      <w:lang w:eastAsia="en-US"/>
    </w:rPr>
  </w:style>
  <w:style w:type="paragraph" w:styleId="BodyText">
    <w:name w:val="Body Text"/>
    <w:basedOn w:val="STPR2BodyText"/>
    <w:link w:val="BodyTextChar"/>
    <w:qFormat/>
    <w:rsid w:val="00C44240"/>
    <w:rPr>
      <w:bCs/>
    </w:rPr>
  </w:style>
  <w:style w:type="character" w:customStyle="1" w:styleId="BodyTextChar">
    <w:name w:val="Body Text Char"/>
    <w:basedOn w:val="DefaultParagraphFont"/>
    <w:link w:val="BodyText"/>
    <w:rsid w:val="00C44240"/>
    <w:rPr>
      <w:rFonts w:ascii="Arial" w:hAnsi="Arial" w:cs="Arial"/>
      <w:bCs/>
      <w:sz w:val="24"/>
      <w:szCs w:val="24"/>
    </w:rPr>
  </w:style>
  <w:style w:type="paragraph" w:styleId="FootnoteText">
    <w:name w:val="footnote text"/>
    <w:basedOn w:val="Normal"/>
    <w:link w:val="FootnoteTextChar"/>
    <w:uiPriority w:val="99"/>
    <w:unhideWhenUsed/>
    <w:rsid w:val="00C44240"/>
    <w:pPr>
      <w:spacing w:after="0" w:line="240" w:lineRule="auto"/>
    </w:pPr>
    <w:rPr>
      <w:sz w:val="20"/>
      <w:szCs w:val="20"/>
    </w:rPr>
  </w:style>
  <w:style w:type="character" w:customStyle="1" w:styleId="FootnoteTextChar">
    <w:name w:val="Footnote Text Char"/>
    <w:basedOn w:val="DefaultParagraphFont"/>
    <w:link w:val="FootnoteText"/>
    <w:uiPriority w:val="99"/>
    <w:rsid w:val="00C44240"/>
    <w:rPr>
      <w:sz w:val="20"/>
      <w:szCs w:val="20"/>
    </w:rPr>
  </w:style>
  <w:style w:type="character" w:styleId="FootnoteReference">
    <w:name w:val="footnote reference"/>
    <w:basedOn w:val="DefaultParagraphFont"/>
    <w:uiPriority w:val="99"/>
    <w:unhideWhenUsed/>
    <w:rsid w:val="00C44240"/>
    <w:rPr>
      <w:vertAlign w:val="superscript"/>
    </w:rPr>
  </w:style>
  <w:style w:type="paragraph" w:styleId="Revision">
    <w:name w:val="Revision"/>
    <w:hidden/>
    <w:uiPriority w:val="99"/>
    <w:semiHidden/>
    <w:rsid w:val="0098221F"/>
    <w:pPr>
      <w:spacing w:after="0" w:line="240" w:lineRule="auto"/>
    </w:pPr>
  </w:style>
  <w:style w:type="paragraph" w:styleId="EndnoteText">
    <w:name w:val="endnote text"/>
    <w:basedOn w:val="Normal"/>
    <w:link w:val="EndnoteTextChar"/>
    <w:uiPriority w:val="99"/>
    <w:unhideWhenUsed/>
    <w:rsid w:val="00C44240"/>
    <w:pPr>
      <w:spacing w:after="0" w:line="240" w:lineRule="auto"/>
    </w:pPr>
    <w:rPr>
      <w:sz w:val="20"/>
      <w:szCs w:val="20"/>
    </w:rPr>
  </w:style>
  <w:style w:type="character" w:customStyle="1" w:styleId="EndnoteTextChar">
    <w:name w:val="Endnote Text Char"/>
    <w:basedOn w:val="DefaultParagraphFont"/>
    <w:link w:val="EndnoteText"/>
    <w:uiPriority w:val="99"/>
    <w:rsid w:val="00C44240"/>
    <w:rPr>
      <w:sz w:val="20"/>
      <w:szCs w:val="20"/>
    </w:rPr>
  </w:style>
  <w:style w:type="character" w:styleId="EndnoteReference">
    <w:name w:val="endnote reference"/>
    <w:basedOn w:val="DefaultParagraphFont"/>
    <w:uiPriority w:val="99"/>
    <w:unhideWhenUsed/>
    <w:rsid w:val="00C44240"/>
    <w:rPr>
      <w:vertAlign w:val="superscript"/>
    </w:rPr>
  </w:style>
  <w:style w:type="character" w:customStyle="1" w:styleId="STPR2Heading2Char">
    <w:name w:val="STPR2_Heading 2 Char"/>
    <w:basedOn w:val="DefaultParagraphFont"/>
    <w:link w:val="STPR2Heading2"/>
    <w:uiPriority w:val="5"/>
    <w:rsid w:val="00C44240"/>
    <w:rPr>
      <w:rFonts w:ascii="Arial" w:hAnsi="Arial" w:cs="Arial"/>
      <w:b/>
      <w:bCs/>
      <w:color w:val="626266"/>
      <w:sz w:val="28"/>
      <w:szCs w:val="28"/>
      <w:lang w:val="en-US"/>
    </w:rPr>
  </w:style>
  <w:style w:type="character" w:styleId="FollowedHyperlink">
    <w:name w:val="FollowedHyperlink"/>
    <w:basedOn w:val="DefaultParagraphFont"/>
    <w:uiPriority w:val="99"/>
    <w:semiHidden/>
    <w:unhideWhenUsed/>
    <w:rsid w:val="00C44240"/>
    <w:rPr>
      <w:color w:val="954F72" w:themeColor="followedHyperlink"/>
      <w:u w:val="single"/>
    </w:rPr>
  </w:style>
  <w:style w:type="paragraph" w:styleId="TableofFigures">
    <w:name w:val="table of figures"/>
    <w:basedOn w:val="Normal"/>
    <w:next w:val="Normal"/>
    <w:uiPriority w:val="99"/>
    <w:unhideWhenUsed/>
    <w:rsid w:val="00C44240"/>
    <w:pPr>
      <w:spacing w:after="0"/>
    </w:pPr>
    <w:rPr>
      <w:rFonts w:ascii="Arial" w:hAnsi="Arial"/>
      <w:sz w:val="24"/>
    </w:rPr>
  </w:style>
  <w:style w:type="paragraph" w:customStyle="1" w:styleId="bodybold12">
    <w:name w:val="body bold 12"/>
    <w:basedOn w:val="STPR2BodyBold"/>
    <w:uiPriority w:val="23"/>
    <w:qFormat/>
    <w:rsid w:val="00C44240"/>
  </w:style>
  <w:style w:type="paragraph" w:customStyle="1" w:styleId="bl112">
    <w:name w:val="bl1 12"/>
    <w:basedOn w:val="STPR2BulletsLevel1"/>
    <w:uiPriority w:val="23"/>
    <w:qFormat/>
    <w:rsid w:val="00C44240"/>
    <w:rPr>
      <w:rFonts w:eastAsia="Times New Roman"/>
    </w:rPr>
  </w:style>
  <w:style w:type="paragraph" w:customStyle="1" w:styleId="bl212">
    <w:name w:val="bl2 12"/>
    <w:basedOn w:val="STPR2BulletsLevel2"/>
    <w:uiPriority w:val="23"/>
    <w:qFormat/>
    <w:rsid w:val="00C44240"/>
    <w:rPr>
      <w:rFonts w:eastAsia="Times New Roman"/>
    </w:rPr>
  </w:style>
  <w:style w:type="character" w:customStyle="1" w:styleId="UnresolvedMention2">
    <w:name w:val="Unresolved Mention2"/>
    <w:basedOn w:val="DefaultParagraphFont"/>
    <w:uiPriority w:val="99"/>
    <w:unhideWhenUsed/>
    <w:rsid w:val="00C44240"/>
    <w:rPr>
      <w:color w:val="605E5C"/>
      <w:shd w:val="clear" w:color="auto" w:fill="E1DFDD"/>
    </w:rPr>
  </w:style>
  <w:style w:type="table" w:customStyle="1" w:styleId="TableGrid1">
    <w:name w:val="Table Grid1"/>
    <w:basedOn w:val="TableNormal"/>
    <w:next w:val="TableGrid"/>
    <w:uiPriority w:val="39"/>
    <w:rsid w:val="00C44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4240"/>
  </w:style>
  <w:style w:type="character" w:customStyle="1" w:styleId="superscript">
    <w:name w:val="superscript"/>
    <w:basedOn w:val="DefaultParagraphFont"/>
    <w:rsid w:val="00C44240"/>
  </w:style>
  <w:style w:type="character" w:customStyle="1" w:styleId="eop">
    <w:name w:val="eop"/>
    <w:basedOn w:val="DefaultParagraphFont"/>
    <w:rsid w:val="00C44240"/>
  </w:style>
  <w:style w:type="paragraph" w:customStyle="1" w:styleId="paragraph">
    <w:name w:val="paragraph"/>
    <w:basedOn w:val="Normal"/>
    <w:rsid w:val="00C442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3">
    <w:name w:val="CM3"/>
    <w:basedOn w:val="Normal"/>
    <w:next w:val="Normal"/>
    <w:uiPriority w:val="99"/>
    <w:rsid w:val="00C44240"/>
    <w:pPr>
      <w:autoSpaceDE w:val="0"/>
      <w:autoSpaceDN w:val="0"/>
      <w:adjustRightInd w:val="0"/>
      <w:spacing w:after="0" w:line="293" w:lineRule="atLeast"/>
    </w:pPr>
    <w:rPr>
      <w:rFonts w:ascii="Arial" w:hAnsi="Arial" w:cs="Arial"/>
      <w:sz w:val="24"/>
      <w:szCs w:val="24"/>
    </w:rPr>
  </w:style>
  <w:style w:type="paragraph" w:customStyle="1" w:styleId="CM24">
    <w:name w:val="CM24"/>
    <w:basedOn w:val="Normal"/>
    <w:next w:val="Normal"/>
    <w:uiPriority w:val="99"/>
    <w:rsid w:val="00C44240"/>
    <w:pPr>
      <w:autoSpaceDE w:val="0"/>
      <w:autoSpaceDN w:val="0"/>
      <w:adjustRightInd w:val="0"/>
      <w:spacing w:after="0" w:line="240" w:lineRule="auto"/>
    </w:pPr>
    <w:rPr>
      <w:rFonts w:ascii="Arial" w:hAnsi="Arial" w:cs="Arial"/>
      <w:sz w:val="24"/>
      <w:szCs w:val="24"/>
    </w:rPr>
  </w:style>
  <w:style w:type="character" w:customStyle="1" w:styleId="Mention1">
    <w:name w:val="Mention1"/>
    <w:basedOn w:val="DefaultParagraphFont"/>
    <w:uiPriority w:val="99"/>
    <w:unhideWhenUsed/>
    <w:rsid w:val="00C44240"/>
    <w:rPr>
      <w:color w:val="2B579A"/>
      <w:shd w:val="clear" w:color="auto" w:fill="E1DFDD"/>
    </w:rPr>
  </w:style>
  <w:style w:type="character" w:styleId="UnresolvedMention">
    <w:name w:val="Unresolved Mention"/>
    <w:basedOn w:val="DefaultParagraphFont"/>
    <w:uiPriority w:val="99"/>
    <w:unhideWhenUsed/>
    <w:rsid w:val="00C44240"/>
    <w:rPr>
      <w:color w:val="605E5C"/>
      <w:shd w:val="clear" w:color="auto" w:fill="E1DFDD"/>
    </w:rPr>
  </w:style>
  <w:style w:type="paragraph" w:customStyle="1" w:styleId="Default">
    <w:name w:val="Default"/>
    <w:rsid w:val="00C44240"/>
    <w:pPr>
      <w:autoSpaceDE w:val="0"/>
      <w:autoSpaceDN w:val="0"/>
      <w:adjustRightInd w:val="0"/>
      <w:spacing w:after="0" w:line="240" w:lineRule="auto"/>
    </w:pPr>
    <w:rPr>
      <w:rFonts w:ascii="Courier New" w:eastAsiaTheme="minorHAnsi" w:hAnsi="Courier New" w:cs="Courier New"/>
      <w:color w:val="000000"/>
      <w:sz w:val="24"/>
      <w:szCs w:val="24"/>
      <w:lang w:val="en-US" w:eastAsia="en-US"/>
    </w:rPr>
  </w:style>
  <w:style w:type="table" w:styleId="GridTable5Dark-Accent6">
    <w:name w:val="Grid Table 5 Dark Accent 6"/>
    <w:basedOn w:val="TableNormal"/>
    <w:uiPriority w:val="50"/>
    <w:rsid w:val="00C44240"/>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Bullet1">
    <w:name w:val="~Bullet1"/>
    <w:basedOn w:val="ListParagraph"/>
    <w:uiPriority w:val="1"/>
    <w:qFormat/>
    <w:rsid w:val="00C44240"/>
    <w:pPr>
      <w:numPr>
        <w:numId w:val="4"/>
      </w:numPr>
      <w:tabs>
        <w:tab w:val="num" w:pos="360"/>
      </w:tabs>
      <w:spacing w:after="160" w:line="300" w:lineRule="auto"/>
    </w:pPr>
    <w:rPr>
      <w:rFonts w:eastAsiaTheme="minorEastAsia"/>
    </w:rPr>
  </w:style>
  <w:style w:type="paragraph" w:styleId="TOC4">
    <w:name w:val="toc 4"/>
    <w:basedOn w:val="Normal"/>
    <w:next w:val="Normal"/>
    <w:autoRedefine/>
    <w:uiPriority w:val="39"/>
    <w:unhideWhenUsed/>
    <w:rsid w:val="00C44240"/>
    <w:pPr>
      <w:spacing w:after="100"/>
      <w:ind w:left="660"/>
    </w:pPr>
  </w:style>
  <w:style w:type="paragraph" w:styleId="TOC5">
    <w:name w:val="toc 5"/>
    <w:basedOn w:val="Normal"/>
    <w:next w:val="Normal"/>
    <w:autoRedefine/>
    <w:uiPriority w:val="39"/>
    <w:unhideWhenUsed/>
    <w:rsid w:val="00C44240"/>
    <w:pPr>
      <w:spacing w:after="100"/>
      <w:ind w:left="880"/>
    </w:pPr>
  </w:style>
  <w:style w:type="paragraph" w:styleId="TOC6">
    <w:name w:val="toc 6"/>
    <w:basedOn w:val="Normal"/>
    <w:next w:val="Normal"/>
    <w:autoRedefine/>
    <w:uiPriority w:val="39"/>
    <w:unhideWhenUsed/>
    <w:rsid w:val="00C44240"/>
    <w:pPr>
      <w:spacing w:after="100"/>
      <w:ind w:left="1100"/>
    </w:pPr>
  </w:style>
  <w:style w:type="paragraph" w:styleId="TOC7">
    <w:name w:val="toc 7"/>
    <w:basedOn w:val="Normal"/>
    <w:next w:val="Normal"/>
    <w:autoRedefine/>
    <w:uiPriority w:val="39"/>
    <w:unhideWhenUsed/>
    <w:rsid w:val="00C44240"/>
    <w:pPr>
      <w:spacing w:after="100"/>
      <w:ind w:left="1320"/>
    </w:pPr>
  </w:style>
  <w:style w:type="paragraph" w:styleId="TOC8">
    <w:name w:val="toc 8"/>
    <w:basedOn w:val="Normal"/>
    <w:next w:val="Normal"/>
    <w:autoRedefine/>
    <w:uiPriority w:val="39"/>
    <w:unhideWhenUsed/>
    <w:rsid w:val="00C44240"/>
    <w:pPr>
      <w:spacing w:after="100"/>
      <w:ind w:left="1540"/>
    </w:pPr>
  </w:style>
  <w:style w:type="paragraph" w:styleId="TOC9">
    <w:name w:val="toc 9"/>
    <w:basedOn w:val="Normal"/>
    <w:next w:val="Normal"/>
    <w:autoRedefine/>
    <w:uiPriority w:val="39"/>
    <w:unhideWhenUsed/>
    <w:rsid w:val="00C44240"/>
    <w:pPr>
      <w:spacing w:after="100"/>
      <w:ind w:left="1760"/>
    </w:pPr>
  </w:style>
  <w:style w:type="character" w:customStyle="1" w:styleId="ListParagraphChar">
    <w:name w:val="List Paragraph Char"/>
    <w:basedOn w:val="DefaultParagraphFont"/>
    <w:link w:val="ListParagraph"/>
    <w:uiPriority w:val="34"/>
    <w:locked/>
    <w:rsid w:val="00C44240"/>
    <w:rPr>
      <w:rFonts w:eastAsiaTheme="minorHAnsi"/>
      <w:lang w:eastAsia="en-US"/>
    </w:rPr>
  </w:style>
  <w:style w:type="paragraph" w:styleId="ListNumber">
    <w:name w:val="List Number"/>
    <w:basedOn w:val="Normal"/>
    <w:uiPriority w:val="99"/>
    <w:unhideWhenUsed/>
    <w:rsid w:val="00C44240"/>
    <w:pPr>
      <w:contextualSpacing/>
    </w:pPr>
  </w:style>
  <w:style w:type="paragraph" w:styleId="ListNumber2">
    <w:name w:val="List Number 2"/>
    <w:basedOn w:val="Normal"/>
    <w:uiPriority w:val="99"/>
    <w:unhideWhenUsed/>
    <w:rsid w:val="00C44240"/>
    <w:pPr>
      <w:numPr>
        <w:numId w:val="8"/>
      </w:numPr>
      <w:contextualSpacing/>
    </w:pPr>
  </w:style>
  <w:style w:type="paragraph" w:styleId="ListNumber3">
    <w:name w:val="List Number 3"/>
    <w:basedOn w:val="Normal"/>
    <w:uiPriority w:val="99"/>
    <w:unhideWhenUsed/>
    <w:rsid w:val="00C44240"/>
    <w:pPr>
      <w:numPr>
        <w:numId w:val="9"/>
      </w:numPr>
      <w:contextualSpacing/>
    </w:pPr>
  </w:style>
  <w:style w:type="paragraph" w:styleId="NoSpacing">
    <w:name w:val="No Spacing"/>
    <w:uiPriority w:val="1"/>
    <w:qFormat/>
    <w:rsid w:val="00C44240"/>
    <w:pPr>
      <w:spacing w:after="0" w:line="240" w:lineRule="auto"/>
    </w:pPr>
  </w:style>
  <w:style w:type="character" w:styleId="Mention">
    <w:name w:val="Mention"/>
    <w:basedOn w:val="DefaultParagraphFont"/>
    <w:uiPriority w:val="99"/>
    <w:unhideWhenUsed/>
    <w:rsid w:val="00A976E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388">
      <w:bodyDiv w:val="1"/>
      <w:marLeft w:val="0"/>
      <w:marRight w:val="0"/>
      <w:marTop w:val="0"/>
      <w:marBottom w:val="0"/>
      <w:divBdr>
        <w:top w:val="none" w:sz="0" w:space="0" w:color="auto"/>
        <w:left w:val="none" w:sz="0" w:space="0" w:color="auto"/>
        <w:bottom w:val="none" w:sz="0" w:space="0" w:color="auto"/>
        <w:right w:val="none" w:sz="0" w:space="0" w:color="auto"/>
      </w:divBdr>
    </w:div>
    <w:div w:id="21371225">
      <w:bodyDiv w:val="1"/>
      <w:marLeft w:val="0"/>
      <w:marRight w:val="0"/>
      <w:marTop w:val="0"/>
      <w:marBottom w:val="0"/>
      <w:divBdr>
        <w:top w:val="none" w:sz="0" w:space="0" w:color="auto"/>
        <w:left w:val="none" w:sz="0" w:space="0" w:color="auto"/>
        <w:bottom w:val="none" w:sz="0" w:space="0" w:color="auto"/>
        <w:right w:val="none" w:sz="0" w:space="0" w:color="auto"/>
      </w:divBdr>
    </w:div>
    <w:div w:id="37972060">
      <w:bodyDiv w:val="1"/>
      <w:marLeft w:val="0"/>
      <w:marRight w:val="0"/>
      <w:marTop w:val="0"/>
      <w:marBottom w:val="0"/>
      <w:divBdr>
        <w:top w:val="none" w:sz="0" w:space="0" w:color="auto"/>
        <w:left w:val="none" w:sz="0" w:space="0" w:color="auto"/>
        <w:bottom w:val="none" w:sz="0" w:space="0" w:color="auto"/>
        <w:right w:val="none" w:sz="0" w:space="0" w:color="auto"/>
      </w:divBdr>
    </w:div>
    <w:div w:id="177085452">
      <w:bodyDiv w:val="1"/>
      <w:marLeft w:val="0"/>
      <w:marRight w:val="0"/>
      <w:marTop w:val="0"/>
      <w:marBottom w:val="0"/>
      <w:divBdr>
        <w:top w:val="none" w:sz="0" w:space="0" w:color="auto"/>
        <w:left w:val="none" w:sz="0" w:space="0" w:color="auto"/>
        <w:bottom w:val="none" w:sz="0" w:space="0" w:color="auto"/>
        <w:right w:val="none" w:sz="0" w:space="0" w:color="auto"/>
      </w:divBdr>
    </w:div>
    <w:div w:id="248924172">
      <w:bodyDiv w:val="1"/>
      <w:marLeft w:val="0"/>
      <w:marRight w:val="0"/>
      <w:marTop w:val="0"/>
      <w:marBottom w:val="0"/>
      <w:divBdr>
        <w:top w:val="none" w:sz="0" w:space="0" w:color="auto"/>
        <w:left w:val="none" w:sz="0" w:space="0" w:color="auto"/>
        <w:bottom w:val="none" w:sz="0" w:space="0" w:color="auto"/>
        <w:right w:val="none" w:sz="0" w:space="0" w:color="auto"/>
      </w:divBdr>
    </w:div>
    <w:div w:id="248924405">
      <w:bodyDiv w:val="1"/>
      <w:marLeft w:val="0"/>
      <w:marRight w:val="0"/>
      <w:marTop w:val="0"/>
      <w:marBottom w:val="0"/>
      <w:divBdr>
        <w:top w:val="none" w:sz="0" w:space="0" w:color="auto"/>
        <w:left w:val="none" w:sz="0" w:space="0" w:color="auto"/>
        <w:bottom w:val="none" w:sz="0" w:space="0" w:color="auto"/>
        <w:right w:val="none" w:sz="0" w:space="0" w:color="auto"/>
      </w:divBdr>
    </w:div>
    <w:div w:id="291056204">
      <w:bodyDiv w:val="1"/>
      <w:marLeft w:val="0"/>
      <w:marRight w:val="0"/>
      <w:marTop w:val="0"/>
      <w:marBottom w:val="0"/>
      <w:divBdr>
        <w:top w:val="none" w:sz="0" w:space="0" w:color="auto"/>
        <w:left w:val="none" w:sz="0" w:space="0" w:color="auto"/>
        <w:bottom w:val="none" w:sz="0" w:space="0" w:color="auto"/>
        <w:right w:val="none" w:sz="0" w:space="0" w:color="auto"/>
      </w:divBdr>
    </w:div>
    <w:div w:id="368458700">
      <w:bodyDiv w:val="1"/>
      <w:marLeft w:val="0"/>
      <w:marRight w:val="0"/>
      <w:marTop w:val="0"/>
      <w:marBottom w:val="0"/>
      <w:divBdr>
        <w:top w:val="none" w:sz="0" w:space="0" w:color="auto"/>
        <w:left w:val="none" w:sz="0" w:space="0" w:color="auto"/>
        <w:bottom w:val="none" w:sz="0" w:space="0" w:color="auto"/>
        <w:right w:val="none" w:sz="0" w:space="0" w:color="auto"/>
      </w:divBdr>
    </w:div>
    <w:div w:id="379398355">
      <w:bodyDiv w:val="1"/>
      <w:marLeft w:val="0"/>
      <w:marRight w:val="0"/>
      <w:marTop w:val="0"/>
      <w:marBottom w:val="0"/>
      <w:divBdr>
        <w:top w:val="none" w:sz="0" w:space="0" w:color="auto"/>
        <w:left w:val="none" w:sz="0" w:space="0" w:color="auto"/>
        <w:bottom w:val="none" w:sz="0" w:space="0" w:color="auto"/>
        <w:right w:val="none" w:sz="0" w:space="0" w:color="auto"/>
      </w:divBdr>
    </w:div>
    <w:div w:id="382216094">
      <w:bodyDiv w:val="1"/>
      <w:marLeft w:val="0"/>
      <w:marRight w:val="0"/>
      <w:marTop w:val="0"/>
      <w:marBottom w:val="0"/>
      <w:divBdr>
        <w:top w:val="none" w:sz="0" w:space="0" w:color="auto"/>
        <w:left w:val="none" w:sz="0" w:space="0" w:color="auto"/>
        <w:bottom w:val="none" w:sz="0" w:space="0" w:color="auto"/>
        <w:right w:val="none" w:sz="0" w:space="0" w:color="auto"/>
      </w:divBdr>
    </w:div>
    <w:div w:id="414785943">
      <w:bodyDiv w:val="1"/>
      <w:marLeft w:val="0"/>
      <w:marRight w:val="0"/>
      <w:marTop w:val="0"/>
      <w:marBottom w:val="0"/>
      <w:divBdr>
        <w:top w:val="none" w:sz="0" w:space="0" w:color="auto"/>
        <w:left w:val="none" w:sz="0" w:space="0" w:color="auto"/>
        <w:bottom w:val="none" w:sz="0" w:space="0" w:color="auto"/>
        <w:right w:val="none" w:sz="0" w:space="0" w:color="auto"/>
      </w:divBdr>
      <w:divsChild>
        <w:div w:id="282346021">
          <w:marLeft w:val="547"/>
          <w:marRight w:val="0"/>
          <w:marTop w:val="0"/>
          <w:marBottom w:val="0"/>
          <w:divBdr>
            <w:top w:val="none" w:sz="0" w:space="0" w:color="auto"/>
            <w:left w:val="none" w:sz="0" w:space="0" w:color="auto"/>
            <w:bottom w:val="none" w:sz="0" w:space="0" w:color="auto"/>
            <w:right w:val="none" w:sz="0" w:space="0" w:color="auto"/>
          </w:divBdr>
        </w:div>
      </w:divsChild>
    </w:div>
    <w:div w:id="459688937">
      <w:bodyDiv w:val="1"/>
      <w:marLeft w:val="0"/>
      <w:marRight w:val="0"/>
      <w:marTop w:val="0"/>
      <w:marBottom w:val="0"/>
      <w:divBdr>
        <w:top w:val="none" w:sz="0" w:space="0" w:color="auto"/>
        <w:left w:val="none" w:sz="0" w:space="0" w:color="auto"/>
        <w:bottom w:val="none" w:sz="0" w:space="0" w:color="auto"/>
        <w:right w:val="none" w:sz="0" w:space="0" w:color="auto"/>
      </w:divBdr>
    </w:div>
    <w:div w:id="473836480">
      <w:bodyDiv w:val="1"/>
      <w:marLeft w:val="0"/>
      <w:marRight w:val="0"/>
      <w:marTop w:val="0"/>
      <w:marBottom w:val="0"/>
      <w:divBdr>
        <w:top w:val="none" w:sz="0" w:space="0" w:color="auto"/>
        <w:left w:val="none" w:sz="0" w:space="0" w:color="auto"/>
        <w:bottom w:val="none" w:sz="0" w:space="0" w:color="auto"/>
        <w:right w:val="none" w:sz="0" w:space="0" w:color="auto"/>
      </w:divBdr>
    </w:div>
    <w:div w:id="530580334">
      <w:bodyDiv w:val="1"/>
      <w:marLeft w:val="0"/>
      <w:marRight w:val="0"/>
      <w:marTop w:val="0"/>
      <w:marBottom w:val="0"/>
      <w:divBdr>
        <w:top w:val="none" w:sz="0" w:space="0" w:color="auto"/>
        <w:left w:val="none" w:sz="0" w:space="0" w:color="auto"/>
        <w:bottom w:val="none" w:sz="0" w:space="0" w:color="auto"/>
        <w:right w:val="none" w:sz="0" w:space="0" w:color="auto"/>
      </w:divBdr>
    </w:div>
    <w:div w:id="552038077">
      <w:bodyDiv w:val="1"/>
      <w:marLeft w:val="0"/>
      <w:marRight w:val="0"/>
      <w:marTop w:val="0"/>
      <w:marBottom w:val="0"/>
      <w:divBdr>
        <w:top w:val="none" w:sz="0" w:space="0" w:color="auto"/>
        <w:left w:val="none" w:sz="0" w:space="0" w:color="auto"/>
        <w:bottom w:val="none" w:sz="0" w:space="0" w:color="auto"/>
        <w:right w:val="none" w:sz="0" w:space="0" w:color="auto"/>
      </w:divBdr>
    </w:div>
    <w:div w:id="574171343">
      <w:bodyDiv w:val="1"/>
      <w:marLeft w:val="0"/>
      <w:marRight w:val="0"/>
      <w:marTop w:val="0"/>
      <w:marBottom w:val="0"/>
      <w:divBdr>
        <w:top w:val="none" w:sz="0" w:space="0" w:color="auto"/>
        <w:left w:val="none" w:sz="0" w:space="0" w:color="auto"/>
        <w:bottom w:val="none" w:sz="0" w:space="0" w:color="auto"/>
        <w:right w:val="none" w:sz="0" w:space="0" w:color="auto"/>
      </w:divBdr>
    </w:div>
    <w:div w:id="578372813">
      <w:bodyDiv w:val="1"/>
      <w:marLeft w:val="0"/>
      <w:marRight w:val="0"/>
      <w:marTop w:val="0"/>
      <w:marBottom w:val="0"/>
      <w:divBdr>
        <w:top w:val="none" w:sz="0" w:space="0" w:color="auto"/>
        <w:left w:val="none" w:sz="0" w:space="0" w:color="auto"/>
        <w:bottom w:val="none" w:sz="0" w:space="0" w:color="auto"/>
        <w:right w:val="none" w:sz="0" w:space="0" w:color="auto"/>
      </w:divBdr>
    </w:div>
    <w:div w:id="620310527">
      <w:bodyDiv w:val="1"/>
      <w:marLeft w:val="0"/>
      <w:marRight w:val="0"/>
      <w:marTop w:val="0"/>
      <w:marBottom w:val="0"/>
      <w:divBdr>
        <w:top w:val="none" w:sz="0" w:space="0" w:color="auto"/>
        <w:left w:val="none" w:sz="0" w:space="0" w:color="auto"/>
        <w:bottom w:val="none" w:sz="0" w:space="0" w:color="auto"/>
        <w:right w:val="none" w:sz="0" w:space="0" w:color="auto"/>
      </w:divBdr>
    </w:div>
    <w:div w:id="648021039">
      <w:bodyDiv w:val="1"/>
      <w:marLeft w:val="0"/>
      <w:marRight w:val="0"/>
      <w:marTop w:val="0"/>
      <w:marBottom w:val="0"/>
      <w:divBdr>
        <w:top w:val="none" w:sz="0" w:space="0" w:color="auto"/>
        <w:left w:val="none" w:sz="0" w:space="0" w:color="auto"/>
        <w:bottom w:val="none" w:sz="0" w:space="0" w:color="auto"/>
        <w:right w:val="none" w:sz="0" w:space="0" w:color="auto"/>
      </w:divBdr>
    </w:div>
    <w:div w:id="662047444">
      <w:bodyDiv w:val="1"/>
      <w:marLeft w:val="0"/>
      <w:marRight w:val="0"/>
      <w:marTop w:val="0"/>
      <w:marBottom w:val="0"/>
      <w:divBdr>
        <w:top w:val="none" w:sz="0" w:space="0" w:color="auto"/>
        <w:left w:val="none" w:sz="0" w:space="0" w:color="auto"/>
        <w:bottom w:val="none" w:sz="0" w:space="0" w:color="auto"/>
        <w:right w:val="none" w:sz="0" w:space="0" w:color="auto"/>
      </w:divBdr>
    </w:div>
    <w:div w:id="662857001">
      <w:bodyDiv w:val="1"/>
      <w:marLeft w:val="0"/>
      <w:marRight w:val="0"/>
      <w:marTop w:val="0"/>
      <w:marBottom w:val="0"/>
      <w:divBdr>
        <w:top w:val="none" w:sz="0" w:space="0" w:color="auto"/>
        <w:left w:val="none" w:sz="0" w:space="0" w:color="auto"/>
        <w:bottom w:val="none" w:sz="0" w:space="0" w:color="auto"/>
        <w:right w:val="none" w:sz="0" w:space="0" w:color="auto"/>
      </w:divBdr>
    </w:div>
    <w:div w:id="706369708">
      <w:bodyDiv w:val="1"/>
      <w:marLeft w:val="0"/>
      <w:marRight w:val="0"/>
      <w:marTop w:val="0"/>
      <w:marBottom w:val="0"/>
      <w:divBdr>
        <w:top w:val="none" w:sz="0" w:space="0" w:color="auto"/>
        <w:left w:val="none" w:sz="0" w:space="0" w:color="auto"/>
        <w:bottom w:val="none" w:sz="0" w:space="0" w:color="auto"/>
        <w:right w:val="none" w:sz="0" w:space="0" w:color="auto"/>
      </w:divBdr>
    </w:div>
    <w:div w:id="736250220">
      <w:bodyDiv w:val="1"/>
      <w:marLeft w:val="0"/>
      <w:marRight w:val="0"/>
      <w:marTop w:val="0"/>
      <w:marBottom w:val="0"/>
      <w:divBdr>
        <w:top w:val="none" w:sz="0" w:space="0" w:color="auto"/>
        <w:left w:val="none" w:sz="0" w:space="0" w:color="auto"/>
        <w:bottom w:val="none" w:sz="0" w:space="0" w:color="auto"/>
        <w:right w:val="none" w:sz="0" w:space="0" w:color="auto"/>
      </w:divBdr>
    </w:div>
    <w:div w:id="737871937">
      <w:bodyDiv w:val="1"/>
      <w:marLeft w:val="0"/>
      <w:marRight w:val="0"/>
      <w:marTop w:val="0"/>
      <w:marBottom w:val="0"/>
      <w:divBdr>
        <w:top w:val="none" w:sz="0" w:space="0" w:color="auto"/>
        <w:left w:val="none" w:sz="0" w:space="0" w:color="auto"/>
        <w:bottom w:val="none" w:sz="0" w:space="0" w:color="auto"/>
        <w:right w:val="none" w:sz="0" w:space="0" w:color="auto"/>
      </w:divBdr>
    </w:div>
    <w:div w:id="755244330">
      <w:bodyDiv w:val="1"/>
      <w:marLeft w:val="0"/>
      <w:marRight w:val="0"/>
      <w:marTop w:val="0"/>
      <w:marBottom w:val="0"/>
      <w:divBdr>
        <w:top w:val="none" w:sz="0" w:space="0" w:color="auto"/>
        <w:left w:val="none" w:sz="0" w:space="0" w:color="auto"/>
        <w:bottom w:val="none" w:sz="0" w:space="0" w:color="auto"/>
        <w:right w:val="none" w:sz="0" w:space="0" w:color="auto"/>
      </w:divBdr>
    </w:div>
    <w:div w:id="786461944">
      <w:bodyDiv w:val="1"/>
      <w:marLeft w:val="0"/>
      <w:marRight w:val="0"/>
      <w:marTop w:val="0"/>
      <w:marBottom w:val="0"/>
      <w:divBdr>
        <w:top w:val="none" w:sz="0" w:space="0" w:color="auto"/>
        <w:left w:val="none" w:sz="0" w:space="0" w:color="auto"/>
        <w:bottom w:val="none" w:sz="0" w:space="0" w:color="auto"/>
        <w:right w:val="none" w:sz="0" w:space="0" w:color="auto"/>
      </w:divBdr>
    </w:div>
    <w:div w:id="804355708">
      <w:bodyDiv w:val="1"/>
      <w:marLeft w:val="0"/>
      <w:marRight w:val="0"/>
      <w:marTop w:val="0"/>
      <w:marBottom w:val="0"/>
      <w:divBdr>
        <w:top w:val="none" w:sz="0" w:space="0" w:color="auto"/>
        <w:left w:val="none" w:sz="0" w:space="0" w:color="auto"/>
        <w:bottom w:val="none" w:sz="0" w:space="0" w:color="auto"/>
        <w:right w:val="none" w:sz="0" w:space="0" w:color="auto"/>
      </w:divBdr>
    </w:div>
    <w:div w:id="811211822">
      <w:bodyDiv w:val="1"/>
      <w:marLeft w:val="0"/>
      <w:marRight w:val="0"/>
      <w:marTop w:val="0"/>
      <w:marBottom w:val="0"/>
      <w:divBdr>
        <w:top w:val="none" w:sz="0" w:space="0" w:color="auto"/>
        <w:left w:val="none" w:sz="0" w:space="0" w:color="auto"/>
        <w:bottom w:val="none" w:sz="0" w:space="0" w:color="auto"/>
        <w:right w:val="none" w:sz="0" w:space="0" w:color="auto"/>
      </w:divBdr>
    </w:div>
    <w:div w:id="833649660">
      <w:bodyDiv w:val="1"/>
      <w:marLeft w:val="0"/>
      <w:marRight w:val="0"/>
      <w:marTop w:val="0"/>
      <w:marBottom w:val="0"/>
      <w:divBdr>
        <w:top w:val="none" w:sz="0" w:space="0" w:color="auto"/>
        <w:left w:val="none" w:sz="0" w:space="0" w:color="auto"/>
        <w:bottom w:val="none" w:sz="0" w:space="0" w:color="auto"/>
        <w:right w:val="none" w:sz="0" w:space="0" w:color="auto"/>
      </w:divBdr>
      <w:divsChild>
        <w:div w:id="269046888">
          <w:marLeft w:val="547"/>
          <w:marRight w:val="0"/>
          <w:marTop w:val="0"/>
          <w:marBottom w:val="0"/>
          <w:divBdr>
            <w:top w:val="none" w:sz="0" w:space="0" w:color="auto"/>
            <w:left w:val="none" w:sz="0" w:space="0" w:color="auto"/>
            <w:bottom w:val="none" w:sz="0" w:space="0" w:color="auto"/>
            <w:right w:val="none" w:sz="0" w:space="0" w:color="auto"/>
          </w:divBdr>
        </w:div>
      </w:divsChild>
    </w:div>
    <w:div w:id="872113144">
      <w:bodyDiv w:val="1"/>
      <w:marLeft w:val="0"/>
      <w:marRight w:val="0"/>
      <w:marTop w:val="0"/>
      <w:marBottom w:val="0"/>
      <w:divBdr>
        <w:top w:val="none" w:sz="0" w:space="0" w:color="auto"/>
        <w:left w:val="none" w:sz="0" w:space="0" w:color="auto"/>
        <w:bottom w:val="none" w:sz="0" w:space="0" w:color="auto"/>
        <w:right w:val="none" w:sz="0" w:space="0" w:color="auto"/>
      </w:divBdr>
    </w:div>
    <w:div w:id="876427565">
      <w:bodyDiv w:val="1"/>
      <w:marLeft w:val="0"/>
      <w:marRight w:val="0"/>
      <w:marTop w:val="0"/>
      <w:marBottom w:val="0"/>
      <w:divBdr>
        <w:top w:val="none" w:sz="0" w:space="0" w:color="auto"/>
        <w:left w:val="none" w:sz="0" w:space="0" w:color="auto"/>
        <w:bottom w:val="none" w:sz="0" w:space="0" w:color="auto"/>
        <w:right w:val="none" w:sz="0" w:space="0" w:color="auto"/>
      </w:divBdr>
    </w:div>
    <w:div w:id="892351242">
      <w:bodyDiv w:val="1"/>
      <w:marLeft w:val="0"/>
      <w:marRight w:val="0"/>
      <w:marTop w:val="0"/>
      <w:marBottom w:val="0"/>
      <w:divBdr>
        <w:top w:val="none" w:sz="0" w:space="0" w:color="auto"/>
        <w:left w:val="none" w:sz="0" w:space="0" w:color="auto"/>
        <w:bottom w:val="none" w:sz="0" w:space="0" w:color="auto"/>
        <w:right w:val="none" w:sz="0" w:space="0" w:color="auto"/>
      </w:divBdr>
      <w:divsChild>
        <w:div w:id="24253583">
          <w:marLeft w:val="0"/>
          <w:marRight w:val="0"/>
          <w:marTop w:val="0"/>
          <w:marBottom w:val="0"/>
          <w:divBdr>
            <w:top w:val="none" w:sz="0" w:space="0" w:color="auto"/>
            <w:left w:val="none" w:sz="0" w:space="0" w:color="auto"/>
            <w:bottom w:val="none" w:sz="0" w:space="0" w:color="auto"/>
            <w:right w:val="none" w:sz="0" w:space="0" w:color="auto"/>
          </w:divBdr>
        </w:div>
        <w:div w:id="58872177">
          <w:marLeft w:val="0"/>
          <w:marRight w:val="0"/>
          <w:marTop w:val="0"/>
          <w:marBottom w:val="0"/>
          <w:divBdr>
            <w:top w:val="none" w:sz="0" w:space="0" w:color="auto"/>
            <w:left w:val="none" w:sz="0" w:space="0" w:color="auto"/>
            <w:bottom w:val="none" w:sz="0" w:space="0" w:color="auto"/>
            <w:right w:val="none" w:sz="0" w:space="0" w:color="auto"/>
          </w:divBdr>
        </w:div>
        <w:div w:id="163981057">
          <w:marLeft w:val="0"/>
          <w:marRight w:val="0"/>
          <w:marTop w:val="0"/>
          <w:marBottom w:val="0"/>
          <w:divBdr>
            <w:top w:val="none" w:sz="0" w:space="0" w:color="auto"/>
            <w:left w:val="none" w:sz="0" w:space="0" w:color="auto"/>
            <w:bottom w:val="none" w:sz="0" w:space="0" w:color="auto"/>
            <w:right w:val="none" w:sz="0" w:space="0" w:color="auto"/>
          </w:divBdr>
        </w:div>
        <w:div w:id="363754453">
          <w:marLeft w:val="0"/>
          <w:marRight w:val="0"/>
          <w:marTop w:val="0"/>
          <w:marBottom w:val="0"/>
          <w:divBdr>
            <w:top w:val="none" w:sz="0" w:space="0" w:color="auto"/>
            <w:left w:val="none" w:sz="0" w:space="0" w:color="auto"/>
            <w:bottom w:val="none" w:sz="0" w:space="0" w:color="auto"/>
            <w:right w:val="none" w:sz="0" w:space="0" w:color="auto"/>
          </w:divBdr>
        </w:div>
        <w:div w:id="554855360">
          <w:marLeft w:val="0"/>
          <w:marRight w:val="0"/>
          <w:marTop w:val="0"/>
          <w:marBottom w:val="0"/>
          <w:divBdr>
            <w:top w:val="none" w:sz="0" w:space="0" w:color="auto"/>
            <w:left w:val="none" w:sz="0" w:space="0" w:color="auto"/>
            <w:bottom w:val="none" w:sz="0" w:space="0" w:color="auto"/>
            <w:right w:val="none" w:sz="0" w:space="0" w:color="auto"/>
          </w:divBdr>
        </w:div>
        <w:div w:id="559367746">
          <w:marLeft w:val="0"/>
          <w:marRight w:val="0"/>
          <w:marTop w:val="0"/>
          <w:marBottom w:val="0"/>
          <w:divBdr>
            <w:top w:val="none" w:sz="0" w:space="0" w:color="auto"/>
            <w:left w:val="none" w:sz="0" w:space="0" w:color="auto"/>
            <w:bottom w:val="none" w:sz="0" w:space="0" w:color="auto"/>
            <w:right w:val="none" w:sz="0" w:space="0" w:color="auto"/>
          </w:divBdr>
        </w:div>
        <w:div w:id="599140353">
          <w:marLeft w:val="0"/>
          <w:marRight w:val="0"/>
          <w:marTop w:val="0"/>
          <w:marBottom w:val="0"/>
          <w:divBdr>
            <w:top w:val="none" w:sz="0" w:space="0" w:color="auto"/>
            <w:left w:val="none" w:sz="0" w:space="0" w:color="auto"/>
            <w:bottom w:val="none" w:sz="0" w:space="0" w:color="auto"/>
            <w:right w:val="none" w:sz="0" w:space="0" w:color="auto"/>
          </w:divBdr>
        </w:div>
        <w:div w:id="611281518">
          <w:marLeft w:val="0"/>
          <w:marRight w:val="0"/>
          <w:marTop w:val="0"/>
          <w:marBottom w:val="0"/>
          <w:divBdr>
            <w:top w:val="none" w:sz="0" w:space="0" w:color="auto"/>
            <w:left w:val="none" w:sz="0" w:space="0" w:color="auto"/>
            <w:bottom w:val="none" w:sz="0" w:space="0" w:color="auto"/>
            <w:right w:val="none" w:sz="0" w:space="0" w:color="auto"/>
          </w:divBdr>
        </w:div>
        <w:div w:id="622686378">
          <w:marLeft w:val="0"/>
          <w:marRight w:val="0"/>
          <w:marTop w:val="0"/>
          <w:marBottom w:val="0"/>
          <w:divBdr>
            <w:top w:val="none" w:sz="0" w:space="0" w:color="auto"/>
            <w:left w:val="none" w:sz="0" w:space="0" w:color="auto"/>
            <w:bottom w:val="none" w:sz="0" w:space="0" w:color="auto"/>
            <w:right w:val="none" w:sz="0" w:space="0" w:color="auto"/>
          </w:divBdr>
        </w:div>
        <w:div w:id="717900931">
          <w:marLeft w:val="0"/>
          <w:marRight w:val="0"/>
          <w:marTop w:val="0"/>
          <w:marBottom w:val="0"/>
          <w:divBdr>
            <w:top w:val="none" w:sz="0" w:space="0" w:color="auto"/>
            <w:left w:val="none" w:sz="0" w:space="0" w:color="auto"/>
            <w:bottom w:val="none" w:sz="0" w:space="0" w:color="auto"/>
            <w:right w:val="none" w:sz="0" w:space="0" w:color="auto"/>
          </w:divBdr>
        </w:div>
        <w:div w:id="746654545">
          <w:marLeft w:val="0"/>
          <w:marRight w:val="0"/>
          <w:marTop w:val="0"/>
          <w:marBottom w:val="0"/>
          <w:divBdr>
            <w:top w:val="none" w:sz="0" w:space="0" w:color="auto"/>
            <w:left w:val="none" w:sz="0" w:space="0" w:color="auto"/>
            <w:bottom w:val="none" w:sz="0" w:space="0" w:color="auto"/>
            <w:right w:val="none" w:sz="0" w:space="0" w:color="auto"/>
          </w:divBdr>
        </w:div>
        <w:div w:id="753668726">
          <w:marLeft w:val="0"/>
          <w:marRight w:val="0"/>
          <w:marTop w:val="0"/>
          <w:marBottom w:val="0"/>
          <w:divBdr>
            <w:top w:val="none" w:sz="0" w:space="0" w:color="auto"/>
            <w:left w:val="none" w:sz="0" w:space="0" w:color="auto"/>
            <w:bottom w:val="none" w:sz="0" w:space="0" w:color="auto"/>
            <w:right w:val="none" w:sz="0" w:space="0" w:color="auto"/>
          </w:divBdr>
        </w:div>
        <w:div w:id="858466992">
          <w:marLeft w:val="0"/>
          <w:marRight w:val="0"/>
          <w:marTop w:val="0"/>
          <w:marBottom w:val="0"/>
          <w:divBdr>
            <w:top w:val="none" w:sz="0" w:space="0" w:color="auto"/>
            <w:left w:val="none" w:sz="0" w:space="0" w:color="auto"/>
            <w:bottom w:val="none" w:sz="0" w:space="0" w:color="auto"/>
            <w:right w:val="none" w:sz="0" w:space="0" w:color="auto"/>
          </w:divBdr>
        </w:div>
        <w:div w:id="890381242">
          <w:marLeft w:val="0"/>
          <w:marRight w:val="0"/>
          <w:marTop w:val="0"/>
          <w:marBottom w:val="0"/>
          <w:divBdr>
            <w:top w:val="none" w:sz="0" w:space="0" w:color="auto"/>
            <w:left w:val="none" w:sz="0" w:space="0" w:color="auto"/>
            <w:bottom w:val="none" w:sz="0" w:space="0" w:color="auto"/>
            <w:right w:val="none" w:sz="0" w:space="0" w:color="auto"/>
          </w:divBdr>
        </w:div>
        <w:div w:id="895631783">
          <w:marLeft w:val="0"/>
          <w:marRight w:val="0"/>
          <w:marTop w:val="0"/>
          <w:marBottom w:val="0"/>
          <w:divBdr>
            <w:top w:val="none" w:sz="0" w:space="0" w:color="auto"/>
            <w:left w:val="none" w:sz="0" w:space="0" w:color="auto"/>
            <w:bottom w:val="none" w:sz="0" w:space="0" w:color="auto"/>
            <w:right w:val="none" w:sz="0" w:space="0" w:color="auto"/>
          </w:divBdr>
        </w:div>
        <w:div w:id="998580856">
          <w:marLeft w:val="0"/>
          <w:marRight w:val="0"/>
          <w:marTop w:val="0"/>
          <w:marBottom w:val="0"/>
          <w:divBdr>
            <w:top w:val="none" w:sz="0" w:space="0" w:color="auto"/>
            <w:left w:val="none" w:sz="0" w:space="0" w:color="auto"/>
            <w:bottom w:val="none" w:sz="0" w:space="0" w:color="auto"/>
            <w:right w:val="none" w:sz="0" w:space="0" w:color="auto"/>
          </w:divBdr>
        </w:div>
        <w:div w:id="1051466772">
          <w:marLeft w:val="0"/>
          <w:marRight w:val="0"/>
          <w:marTop w:val="0"/>
          <w:marBottom w:val="0"/>
          <w:divBdr>
            <w:top w:val="none" w:sz="0" w:space="0" w:color="auto"/>
            <w:left w:val="none" w:sz="0" w:space="0" w:color="auto"/>
            <w:bottom w:val="none" w:sz="0" w:space="0" w:color="auto"/>
            <w:right w:val="none" w:sz="0" w:space="0" w:color="auto"/>
          </w:divBdr>
        </w:div>
        <w:div w:id="1112744410">
          <w:marLeft w:val="0"/>
          <w:marRight w:val="0"/>
          <w:marTop w:val="0"/>
          <w:marBottom w:val="0"/>
          <w:divBdr>
            <w:top w:val="none" w:sz="0" w:space="0" w:color="auto"/>
            <w:left w:val="none" w:sz="0" w:space="0" w:color="auto"/>
            <w:bottom w:val="none" w:sz="0" w:space="0" w:color="auto"/>
            <w:right w:val="none" w:sz="0" w:space="0" w:color="auto"/>
          </w:divBdr>
        </w:div>
        <w:div w:id="1179656315">
          <w:marLeft w:val="0"/>
          <w:marRight w:val="0"/>
          <w:marTop w:val="0"/>
          <w:marBottom w:val="0"/>
          <w:divBdr>
            <w:top w:val="none" w:sz="0" w:space="0" w:color="auto"/>
            <w:left w:val="none" w:sz="0" w:space="0" w:color="auto"/>
            <w:bottom w:val="none" w:sz="0" w:space="0" w:color="auto"/>
            <w:right w:val="none" w:sz="0" w:space="0" w:color="auto"/>
          </w:divBdr>
        </w:div>
        <w:div w:id="1197964905">
          <w:marLeft w:val="0"/>
          <w:marRight w:val="0"/>
          <w:marTop w:val="0"/>
          <w:marBottom w:val="0"/>
          <w:divBdr>
            <w:top w:val="none" w:sz="0" w:space="0" w:color="auto"/>
            <w:left w:val="none" w:sz="0" w:space="0" w:color="auto"/>
            <w:bottom w:val="none" w:sz="0" w:space="0" w:color="auto"/>
            <w:right w:val="none" w:sz="0" w:space="0" w:color="auto"/>
          </w:divBdr>
        </w:div>
        <w:div w:id="1332021494">
          <w:marLeft w:val="0"/>
          <w:marRight w:val="0"/>
          <w:marTop w:val="0"/>
          <w:marBottom w:val="0"/>
          <w:divBdr>
            <w:top w:val="none" w:sz="0" w:space="0" w:color="auto"/>
            <w:left w:val="none" w:sz="0" w:space="0" w:color="auto"/>
            <w:bottom w:val="none" w:sz="0" w:space="0" w:color="auto"/>
            <w:right w:val="none" w:sz="0" w:space="0" w:color="auto"/>
          </w:divBdr>
        </w:div>
        <w:div w:id="1348630705">
          <w:marLeft w:val="0"/>
          <w:marRight w:val="0"/>
          <w:marTop w:val="0"/>
          <w:marBottom w:val="0"/>
          <w:divBdr>
            <w:top w:val="none" w:sz="0" w:space="0" w:color="auto"/>
            <w:left w:val="none" w:sz="0" w:space="0" w:color="auto"/>
            <w:bottom w:val="none" w:sz="0" w:space="0" w:color="auto"/>
            <w:right w:val="none" w:sz="0" w:space="0" w:color="auto"/>
          </w:divBdr>
        </w:div>
        <w:div w:id="1349598269">
          <w:marLeft w:val="0"/>
          <w:marRight w:val="0"/>
          <w:marTop w:val="0"/>
          <w:marBottom w:val="0"/>
          <w:divBdr>
            <w:top w:val="none" w:sz="0" w:space="0" w:color="auto"/>
            <w:left w:val="none" w:sz="0" w:space="0" w:color="auto"/>
            <w:bottom w:val="none" w:sz="0" w:space="0" w:color="auto"/>
            <w:right w:val="none" w:sz="0" w:space="0" w:color="auto"/>
          </w:divBdr>
        </w:div>
        <w:div w:id="1416172413">
          <w:marLeft w:val="0"/>
          <w:marRight w:val="0"/>
          <w:marTop w:val="0"/>
          <w:marBottom w:val="0"/>
          <w:divBdr>
            <w:top w:val="none" w:sz="0" w:space="0" w:color="auto"/>
            <w:left w:val="none" w:sz="0" w:space="0" w:color="auto"/>
            <w:bottom w:val="none" w:sz="0" w:space="0" w:color="auto"/>
            <w:right w:val="none" w:sz="0" w:space="0" w:color="auto"/>
          </w:divBdr>
        </w:div>
        <w:div w:id="1495802982">
          <w:marLeft w:val="0"/>
          <w:marRight w:val="0"/>
          <w:marTop w:val="0"/>
          <w:marBottom w:val="0"/>
          <w:divBdr>
            <w:top w:val="none" w:sz="0" w:space="0" w:color="auto"/>
            <w:left w:val="none" w:sz="0" w:space="0" w:color="auto"/>
            <w:bottom w:val="none" w:sz="0" w:space="0" w:color="auto"/>
            <w:right w:val="none" w:sz="0" w:space="0" w:color="auto"/>
          </w:divBdr>
        </w:div>
        <w:div w:id="1525512679">
          <w:marLeft w:val="0"/>
          <w:marRight w:val="0"/>
          <w:marTop w:val="0"/>
          <w:marBottom w:val="0"/>
          <w:divBdr>
            <w:top w:val="none" w:sz="0" w:space="0" w:color="auto"/>
            <w:left w:val="none" w:sz="0" w:space="0" w:color="auto"/>
            <w:bottom w:val="none" w:sz="0" w:space="0" w:color="auto"/>
            <w:right w:val="none" w:sz="0" w:space="0" w:color="auto"/>
          </w:divBdr>
        </w:div>
        <w:div w:id="1618290836">
          <w:marLeft w:val="0"/>
          <w:marRight w:val="0"/>
          <w:marTop w:val="0"/>
          <w:marBottom w:val="0"/>
          <w:divBdr>
            <w:top w:val="none" w:sz="0" w:space="0" w:color="auto"/>
            <w:left w:val="none" w:sz="0" w:space="0" w:color="auto"/>
            <w:bottom w:val="none" w:sz="0" w:space="0" w:color="auto"/>
            <w:right w:val="none" w:sz="0" w:space="0" w:color="auto"/>
          </w:divBdr>
        </w:div>
        <w:div w:id="1621184649">
          <w:marLeft w:val="0"/>
          <w:marRight w:val="0"/>
          <w:marTop w:val="0"/>
          <w:marBottom w:val="0"/>
          <w:divBdr>
            <w:top w:val="none" w:sz="0" w:space="0" w:color="auto"/>
            <w:left w:val="none" w:sz="0" w:space="0" w:color="auto"/>
            <w:bottom w:val="none" w:sz="0" w:space="0" w:color="auto"/>
            <w:right w:val="none" w:sz="0" w:space="0" w:color="auto"/>
          </w:divBdr>
        </w:div>
        <w:div w:id="1689410312">
          <w:marLeft w:val="0"/>
          <w:marRight w:val="0"/>
          <w:marTop w:val="0"/>
          <w:marBottom w:val="0"/>
          <w:divBdr>
            <w:top w:val="none" w:sz="0" w:space="0" w:color="auto"/>
            <w:left w:val="none" w:sz="0" w:space="0" w:color="auto"/>
            <w:bottom w:val="none" w:sz="0" w:space="0" w:color="auto"/>
            <w:right w:val="none" w:sz="0" w:space="0" w:color="auto"/>
          </w:divBdr>
        </w:div>
        <w:div w:id="1696884229">
          <w:marLeft w:val="0"/>
          <w:marRight w:val="0"/>
          <w:marTop w:val="0"/>
          <w:marBottom w:val="0"/>
          <w:divBdr>
            <w:top w:val="none" w:sz="0" w:space="0" w:color="auto"/>
            <w:left w:val="none" w:sz="0" w:space="0" w:color="auto"/>
            <w:bottom w:val="none" w:sz="0" w:space="0" w:color="auto"/>
            <w:right w:val="none" w:sz="0" w:space="0" w:color="auto"/>
          </w:divBdr>
        </w:div>
        <w:div w:id="1777943815">
          <w:marLeft w:val="0"/>
          <w:marRight w:val="0"/>
          <w:marTop w:val="0"/>
          <w:marBottom w:val="0"/>
          <w:divBdr>
            <w:top w:val="none" w:sz="0" w:space="0" w:color="auto"/>
            <w:left w:val="none" w:sz="0" w:space="0" w:color="auto"/>
            <w:bottom w:val="none" w:sz="0" w:space="0" w:color="auto"/>
            <w:right w:val="none" w:sz="0" w:space="0" w:color="auto"/>
          </w:divBdr>
        </w:div>
        <w:div w:id="1841458440">
          <w:marLeft w:val="0"/>
          <w:marRight w:val="0"/>
          <w:marTop w:val="0"/>
          <w:marBottom w:val="0"/>
          <w:divBdr>
            <w:top w:val="none" w:sz="0" w:space="0" w:color="auto"/>
            <w:left w:val="none" w:sz="0" w:space="0" w:color="auto"/>
            <w:bottom w:val="none" w:sz="0" w:space="0" w:color="auto"/>
            <w:right w:val="none" w:sz="0" w:space="0" w:color="auto"/>
          </w:divBdr>
        </w:div>
        <w:div w:id="1888834685">
          <w:marLeft w:val="0"/>
          <w:marRight w:val="0"/>
          <w:marTop w:val="0"/>
          <w:marBottom w:val="0"/>
          <w:divBdr>
            <w:top w:val="none" w:sz="0" w:space="0" w:color="auto"/>
            <w:left w:val="none" w:sz="0" w:space="0" w:color="auto"/>
            <w:bottom w:val="none" w:sz="0" w:space="0" w:color="auto"/>
            <w:right w:val="none" w:sz="0" w:space="0" w:color="auto"/>
          </w:divBdr>
        </w:div>
        <w:div w:id="1896889869">
          <w:marLeft w:val="0"/>
          <w:marRight w:val="0"/>
          <w:marTop w:val="0"/>
          <w:marBottom w:val="0"/>
          <w:divBdr>
            <w:top w:val="none" w:sz="0" w:space="0" w:color="auto"/>
            <w:left w:val="none" w:sz="0" w:space="0" w:color="auto"/>
            <w:bottom w:val="none" w:sz="0" w:space="0" w:color="auto"/>
            <w:right w:val="none" w:sz="0" w:space="0" w:color="auto"/>
          </w:divBdr>
        </w:div>
        <w:div w:id="1957173870">
          <w:marLeft w:val="0"/>
          <w:marRight w:val="0"/>
          <w:marTop w:val="0"/>
          <w:marBottom w:val="0"/>
          <w:divBdr>
            <w:top w:val="none" w:sz="0" w:space="0" w:color="auto"/>
            <w:left w:val="none" w:sz="0" w:space="0" w:color="auto"/>
            <w:bottom w:val="none" w:sz="0" w:space="0" w:color="auto"/>
            <w:right w:val="none" w:sz="0" w:space="0" w:color="auto"/>
          </w:divBdr>
        </w:div>
        <w:div w:id="2031682833">
          <w:marLeft w:val="0"/>
          <w:marRight w:val="0"/>
          <w:marTop w:val="0"/>
          <w:marBottom w:val="0"/>
          <w:divBdr>
            <w:top w:val="none" w:sz="0" w:space="0" w:color="auto"/>
            <w:left w:val="none" w:sz="0" w:space="0" w:color="auto"/>
            <w:bottom w:val="none" w:sz="0" w:space="0" w:color="auto"/>
            <w:right w:val="none" w:sz="0" w:space="0" w:color="auto"/>
          </w:divBdr>
        </w:div>
      </w:divsChild>
    </w:div>
    <w:div w:id="893732127">
      <w:bodyDiv w:val="1"/>
      <w:marLeft w:val="0"/>
      <w:marRight w:val="0"/>
      <w:marTop w:val="0"/>
      <w:marBottom w:val="0"/>
      <w:divBdr>
        <w:top w:val="none" w:sz="0" w:space="0" w:color="auto"/>
        <w:left w:val="none" w:sz="0" w:space="0" w:color="auto"/>
        <w:bottom w:val="none" w:sz="0" w:space="0" w:color="auto"/>
        <w:right w:val="none" w:sz="0" w:space="0" w:color="auto"/>
      </w:divBdr>
    </w:div>
    <w:div w:id="894000519">
      <w:bodyDiv w:val="1"/>
      <w:marLeft w:val="0"/>
      <w:marRight w:val="0"/>
      <w:marTop w:val="0"/>
      <w:marBottom w:val="0"/>
      <w:divBdr>
        <w:top w:val="none" w:sz="0" w:space="0" w:color="auto"/>
        <w:left w:val="none" w:sz="0" w:space="0" w:color="auto"/>
        <w:bottom w:val="none" w:sz="0" w:space="0" w:color="auto"/>
        <w:right w:val="none" w:sz="0" w:space="0" w:color="auto"/>
      </w:divBdr>
    </w:div>
    <w:div w:id="897086435">
      <w:bodyDiv w:val="1"/>
      <w:marLeft w:val="0"/>
      <w:marRight w:val="0"/>
      <w:marTop w:val="0"/>
      <w:marBottom w:val="0"/>
      <w:divBdr>
        <w:top w:val="none" w:sz="0" w:space="0" w:color="auto"/>
        <w:left w:val="none" w:sz="0" w:space="0" w:color="auto"/>
        <w:bottom w:val="none" w:sz="0" w:space="0" w:color="auto"/>
        <w:right w:val="none" w:sz="0" w:space="0" w:color="auto"/>
      </w:divBdr>
    </w:div>
    <w:div w:id="937373156">
      <w:bodyDiv w:val="1"/>
      <w:marLeft w:val="0"/>
      <w:marRight w:val="0"/>
      <w:marTop w:val="0"/>
      <w:marBottom w:val="0"/>
      <w:divBdr>
        <w:top w:val="none" w:sz="0" w:space="0" w:color="auto"/>
        <w:left w:val="none" w:sz="0" w:space="0" w:color="auto"/>
        <w:bottom w:val="none" w:sz="0" w:space="0" w:color="auto"/>
        <w:right w:val="none" w:sz="0" w:space="0" w:color="auto"/>
      </w:divBdr>
    </w:div>
    <w:div w:id="945237588">
      <w:bodyDiv w:val="1"/>
      <w:marLeft w:val="0"/>
      <w:marRight w:val="0"/>
      <w:marTop w:val="0"/>
      <w:marBottom w:val="0"/>
      <w:divBdr>
        <w:top w:val="none" w:sz="0" w:space="0" w:color="auto"/>
        <w:left w:val="none" w:sz="0" w:space="0" w:color="auto"/>
        <w:bottom w:val="none" w:sz="0" w:space="0" w:color="auto"/>
        <w:right w:val="none" w:sz="0" w:space="0" w:color="auto"/>
      </w:divBdr>
    </w:div>
    <w:div w:id="964239619">
      <w:bodyDiv w:val="1"/>
      <w:marLeft w:val="0"/>
      <w:marRight w:val="0"/>
      <w:marTop w:val="0"/>
      <w:marBottom w:val="0"/>
      <w:divBdr>
        <w:top w:val="none" w:sz="0" w:space="0" w:color="auto"/>
        <w:left w:val="none" w:sz="0" w:space="0" w:color="auto"/>
        <w:bottom w:val="none" w:sz="0" w:space="0" w:color="auto"/>
        <w:right w:val="none" w:sz="0" w:space="0" w:color="auto"/>
      </w:divBdr>
    </w:div>
    <w:div w:id="977296842">
      <w:bodyDiv w:val="1"/>
      <w:marLeft w:val="0"/>
      <w:marRight w:val="0"/>
      <w:marTop w:val="0"/>
      <w:marBottom w:val="0"/>
      <w:divBdr>
        <w:top w:val="none" w:sz="0" w:space="0" w:color="auto"/>
        <w:left w:val="none" w:sz="0" w:space="0" w:color="auto"/>
        <w:bottom w:val="none" w:sz="0" w:space="0" w:color="auto"/>
        <w:right w:val="none" w:sz="0" w:space="0" w:color="auto"/>
      </w:divBdr>
    </w:div>
    <w:div w:id="995575079">
      <w:bodyDiv w:val="1"/>
      <w:marLeft w:val="0"/>
      <w:marRight w:val="0"/>
      <w:marTop w:val="0"/>
      <w:marBottom w:val="0"/>
      <w:divBdr>
        <w:top w:val="none" w:sz="0" w:space="0" w:color="auto"/>
        <w:left w:val="none" w:sz="0" w:space="0" w:color="auto"/>
        <w:bottom w:val="none" w:sz="0" w:space="0" w:color="auto"/>
        <w:right w:val="none" w:sz="0" w:space="0" w:color="auto"/>
      </w:divBdr>
    </w:div>
    <w:div w:id="996803066">
      <w:bodyDiv w:val="1"/>
      <w:marLeft w:val="0"/>
      <w:marRight w:val="0"/>
      <w:marTop w:val="0"/>
      <w:marBottom w:val="0"/>
      <w:divBdr>
        <w:top w:val="none" w:sz="0" w:space="0" w:color="auto"/>
        <w:left w:val="none" w:sz="0" w:space="0" w:color="auto"/>
        <w:bottom w:val="none" w:sz="0" w:space="0" w:color="auto"/>
        <w:right w:val="none" w:sz="0" w:space="0" w:color="auto"/>
      </w:divBdr>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046032234">
      <w:bodyDiv w:val="1"/>
      <w:marLeft w:val="0"/>
      <w:marRight w:val="0"/>
      <w:marTop w:val="0"/>
      <w:marBottom w:val="0"/>
      <w:divBdr>
        <w:top w:val="none" w:sz="0" w:space="0" w:color="auto"/>
        <w:left w:val="none" w:sz="0" w:space="0" w:color="auto"/>
        <w:bottom w:val="none" w:sz="0" w:space="0" w:color="auto"/>
        <w:right w:val="none" w:sz="0" w:space="0" w:color="auto"/>
      </w:divBdr>
    </w:div>
    <w:div w:id="1061442788">
      <w:bodyDiv w:val="1"/>
      <w:marLeft w:val="0"/>
      <w:marRight w:val="0"/>
      <w:marTop w:val="0"/>
      <w:marBottom w:val="0"/>
      <w:divBdr>
        <w:top w:val="none" w:sz="0" w:space="0" w:color="auto"/>
        <w:left w:val="none" w:sz="0" w:space="0" w:color="auto"/>
        <w:bottom w:val="none" w:sz="0" w:space="0" w:color="auto"/>
        <w:right w:val="none" w:sz="0" w:space="0" w:color="auto"/>
      </w:divBdr>
    </w:div>
    <w:div w:id="1086149094">
      <w:bodyDiv w:val="1"/>
      <w:marLeft w:val="0"/>
      <w:marRight w:val="0"/>
      <w:marTop w:val="0"/>
      <w:marBottom w:val="0"/>
      <w:divBdr>
        <w:top w:val="none" w:sz="0" w:space="0" w:color="auto"/>
        <w:left w:val="none" w:sz="0" w:space="0" w:color="auto"/>
        <w:bottom w:val="none" w:sz="0" w:space="0" w:color="auto"/>
        <w:right w:val="none" w:sz="0" w:space="0" w:color="auto"/>
      </w:divBdr>
    </w:div>
    <w:div w:id="1091466202">
      <w:bodyDiv w:val="1"/>
      <w:marLeft w:val="0"/>
      <w:marRight w:val="0"/>
      <w:marTop w:val="0"/>
      <w:marBottom w:val="0"/>
      <w:divBdr>
        <w:top w:val="none" w:sz="0" w:space="0" w:color="auto"/>
        <w:left w:val="none" w:sz="0" w:space="0" w:color="auto"/>
        <w:bottom w:val="none" w:sz="0" w:space="0" w:color="auto"/>
        <w:right w:val="none" w:sz="0" w:space="0" w:color="auto"/>
      </w:divBdr>
    </w:div>
    <w:div w:id="1124082240">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170220372">
      <w:bodyDiv w:val="1"/>
      <w:marLeft w:val="0"/>
      <w:marRight w:val="0"/>
      <w:marTop w:val="0"/>
      <w:marBottom w:val="0"/>
      <w:divBdr>
        <w:top w:val="none" w:sz="0" w:space="0" w:color="auto"/>
        <w:left w:val="none" w:sz="0" w:space="0" w:color="auto"/>
        <w:bottom w:val="none" w:sz="0" w:space="0" w:color="auto"/>
        <w:right w:val="none" w:sz="0" w:space="0" w:color="auto"/>
      </w:divBdr>
      <w:divsChild>
        <w:div w:id="233200802">
          <w:marLeft w:val="0"/>
          <w:marRight w:val="0"/>
          <w:marTop w:val="0"/>
          <w:marBottom w:val="0"/>
          <w:divBdr>
            <w:top w:val="none" w:sz="0" w:space="0" w:color="auto"/>
            <w:left w:val="none" w:sz="0" w:space="0" w:color="auto"/>
            <w:bottom w:val="none" w:sz="0" w:space="0" w:color="auto"/>
            <w:right w:val="none" w:sz="0" w:space="0" w:color="auto"/>
          </w:divBdr>
        </w:div>
        <w:div w:id="2071004048">
          <w:marLeft w:val="0"/>
          <w:marRight w:val="0"/>
          <w:marTop w:val="0"/>
          <w:marBottom w:val="0"/>
          <w:divBdr>
            <w:top w:val="none" w:sz="0" w:space="0" w:color="auto"/>
            <w:left w:val="none" w:sz="0" w:space="0" w:color="auto"/>
            <w:bottom w:val="none" w:sz="0" w:space="0" w:color="auto"/>
            <w:right w:val="none" w:sz="0" w:space="0" w:color="auto"/>
          </w:divBdr>
        </w:div>
      </w:divsChild>
    </w:div>
    <w:div w:id="1186167572">
      <w:bodyDiv w:val="1"/>
      <w:marLeft w:val="0"/>
      <w:marRight w:val="0"/>
      <w:marTop w:val="0"/>
      <w:marBottom w:val="0"/>
      <w:divBdr>
        <w:top w:val="none" w:sz="0" w:space="0" w:color="auto"/>
        <w:left w:val="none" w:sz="0" w:space="0" w:color="auto"/>
        <w:bottom w:val="none" w:sz="0" w:space="0" w:color="auto"/>
        <w:right w:val="none" w:sz="0" w:space="0" w:color="auto"/>
      </w:divBdr>
    </w:div>
    <w:div w:id="1189678438">
      <w:bodyDiv w:val="1"/>
      <w:marLeft w:val="0"/>
      <w:marRight w:val="0"/>
      <w:marTop w:val="0"/>
      <w:marBottom w:val="0"/>
      <w:divBdr>
        <w:top w:val="none" w:sz="0" w:space="0" w:color="auto"/>
        <w:left w:val="none" w:sz="0" w:space="0" w:color="auto"/>
        <w:bottom w:val="none" w:sz="0" w:space="0" w:color="auto"/>
        <w:right w:val="none" w:sz="0" w:space="0" w:color="auto"/>
      </w:divBdr>
    </w:div>
    <w:div w:id="1244606916">
      <w:bodyDiv w:val="1"/>
      <w:marLeft w:val="0"/>
      <w:marRight w:val="0"/>
      <w:marTop w:val="0"/>
      <w:marBottom w:val="0"/>
      <w:divBdr>
        <w:top w:val="none" w:sz="0" w:space="0" w:color="auto"/>
        <w:left w:val="none" w:sz="0" w:space="0" w:color="auto"/>
        <w:bottom w:val="none" w:sz="0" w:space="0" w:color="auto"/>
        <w:right w:val="none" w:sz="0" w:space="0" w:color="auto"/>
      </w:divBdr>
    </w:div>
    <w:div w:id="1269578694">
      <w:bodyDiv w:val="1"/>
      <w:marLeft w:val="0"/>
      <w:marRight w:val="0"/>
      <w:marTop w:val="0"/>
      <w:marBottom w:val="0"/>
      <w:divBdr>
        <w:top w:val="none" w:sz="0" w:space="0" w:color="auto"/>
        <w:left w:val="none" w:sz="0" w:space="0" w:color="auto"/>
        <w:bottom w:val="none" w:sz="0" w:space="0" w:color="auto"/>
        <w:right w:val="none" w:sz="0" w:space="0" w:color="auto"/>
      </w:divBdr>
    </w:div>
    <w:div w:id="1288704280">
      <w:bodyDiv w:val="1"/>
      <w:marLeft w:val="0"/>
      <w:marRight w:val="0"/>
      <w:marTop w:val="0"/>
      <w:marBottom w:val="0"/>
      <w:divBdr>
        <w:top w:val="none" w:sz="0" w:space="0" w:color="auto"/>
        <w:left w:val="none" w:sz="0" w:space="0" w:color="auto"/>
        <w:bottom w:val="none" w:sz="0" w:space="0" w:color="auto"/>
        <w:right w:val="none" w:sz="0" w:space="0" w:color="auto"/>
      </w:divBdr>
    </w:div>
    <w:div w:id="1289163543">
      <w:bodyDiv w:val="1"/>
      <w:marLeft w:val="0"/>
      <w:marRight w:val="0"/>
      <w:marTop w:val="0"/>
      <w:marBottom w:val="0"/>
      <w:divBdr>
        <w:top w:val="none" w:sz="0" w:space="0" w:color="auto"/>
        <w:left w:val="none" w:sz="0" w:space="0" w:color="auto"/>
        <w:bottom w:val="none" w:sz="0" w:space="0" w:color="auto"/>
        <w:right w:val="none" w:sz="0" w:space="0" w:color="auto"/>
      </w:divBdr>
    </w:div>
    <w:div w:id="1298606454">
      <w:bodyDiv w:val="1"/>
      <w:marLeft w:val="0"/>
      <w:marRight w:val="0"/>
      <w:marTop w:val="0"/>
      <w:marBottom w:val="0"/>
      <w:divBdr>
        <w:top w:val="none" w:sz="0" w:space="0" w:color="auto"/>
        <w:left w:val="none" w:sz="0" w:space="0" w:color="auto"/>
        <w:bottom w:val="none" w:sz="0" w:space="0" w:color="auto"/>
        <w:right w:val="none" w:sz="0" w:space="0" w:color="auto"/>
      </w:divBdr>
    </w:div>
    <w:div w:id="1304888385">
      <w:bodyDiv w:val="1"/>
      <w:marLeft w:val="0"/>
      <w:marRight w:val="0"/>
      <w:marTop w:val="0"/>
      <w:marBottom w:val="0"/>
      <w:divBdr>
        <w:top w:val="none" w:sz="0" w:space="0" w:color="auto"/>
        <w:left w:val="none" w:sz="0" w:space="0" w:color="auto"/>
        <w:bottom w:val="none" w:sz="0" w:space="0" w:color="auto"/>
        <w:right w:val="none" w:sz="0" w:space="0" w:color="auto"/>
      </w:divBdr>
    </w:div>
    <w:div w:id="1318995991">
      <w:bodyDiv w:val="1"/>
      <w:marLeft w:val="0"/>
      <w:marRight w:val="0"/>
      <w:marTop w:val="0"/>
      <w:marBottom w:val="0"/>
      <w:divBdr>
        <w:top w:val="none" w:sz="0" w:space="0" w:color="auto"/>
        <w:left w:val="none" w:sz="0" w:space="0" w:color="auto"/>
        <w:bottom w:val="none" w:sz="0" w:space="0" w:color="auto"/>
        <w:right w:val="none" w:sz="0" w:space="0" w:color="auto"/>
      </w:divBdr>
    </w:div>
    <w:div w:id="1325935567">
      <w:bodyDiv w:val="1"/>
      <w:marLeft w:val="0"/>
      <w:marRight w:val="0"/>
      <w:marTop w:val="0"/>
      <w:marBottom w:val="0"/>
      <w:divBdr>
        <w:top w:val="none" w:sz="0" w:space="0" w:color="auto"/>
        <w:left w:val="none" w:sz="0" w:space="0" w:color="auto"/>
        <w:bottom w:val="none" w:sz="0" w:space="0" w:color="auto"/>
        <w:right w:val="none" w:sz="0" w:space="0" w:color="auto"/>
      </w:divBdr>
    </w:div>
    <w:div w:id="1335498694">
      <w:bodyDiv w:val="1"/>
      <w:marLeft w:val="0"/>
      <w:marRight w:val="0"/>
      <w:marTop w:val="0"/>
      <w:marBottom w:val="0"/>
      <w:divBdr>
        <w:top w:val="none" w:sz="0" w:space="0" w:color="auto"/>
        <w:left w:val="none" w:sz="0" w:space="0" w:color="auto"/>
        <w:bottom w:val="none" w:sz="0" w:space="0" w:color="auto"/>
        <w:right w:val="none" w:sz="0" w:space="0" w:color="auto"/>
      </w:divBdr>
    </w:div>
    <w:div w:id="1340692153">
      <w:bodyDiv w:val="1"/>
      <w:marLeft w:val="0"/>
      <w:marRight w:val="0"/>
      <w:marTop w:val="0"/>
      <w:marBottom w:val="0"/>
      <w:divBdr>
        <w:top w:val="none" w:sz="0" w:space="0" w:color="auto"/>
        <w:left w:val="none" w:sz="0" w:space="0" w:color="auto"/>
        <w:bottom w:val="none" w:sz="0" w:space="0" w:color="auto"/>
        <w:right w:val="none" w:sz="0" w:space="0" w:color="auto"/>
      </w:divBdr>
    </w:div>
    <w:div w:id="1403913570">
      <w:bodyDiv w:val="1"/>
      <w:marLeft w:val="0"/>
      <w:marRight w:val="0"/>
      <w:marTop w:val="0"/>
      <w:marBottom w:val="0"/>
      <w:divBdr>
        <w:top w:val="none" w:sz="0" w:space="0" w:color="auto"/>
        <w:left w:val="none" w:sz="0" w:space="0" w:color="auto"/>
        <w:bottom w:val="none" w:sz="0" w:space="0" w:color="auto"/>
        <w:right w:val="none" w:sz="0" w:space="0" w:color="auto"/>
      </w:divBdr>
    </w:div>
    <w:div w:id="1445661207">
      <w:bodyDiv w:val="1"/>
      <w:marLeft w:val="0"/>
      <w:marRight w:val="0"/>
      <w:marTop w:val="0"/>
      <w:marBottom w:val="0"/>
      <w:divBdr>
        <w:top w:val="none" w:sz="0" w:space="0" w:color="auto"/>
        <w:left w:val="none" w:sz="0" w:space="0" w:color="auto"/>
        <w:bottom w:val="none" w:sz="0" w:space="0" w:color="auto"/>
        <w:right w:val="none" w:sz="0" w:space="0" w:color="auto"/>
      </w:divBdr>
    </w:div>
    <w:div w:id="1455753491">
      <w:bodyDiv w:val="1"/>
      <w:marLeft w:val="0"/>
      <w:marRight w:val="0"/>
      <w:marTop w:val="0"/>
      <w:marBottom w:val="0"/>
      <w:divBdr>
        <w:top w:val="none" w:sz="0" w:space="0" w:color="auto"/>
        <w:left w:val="none" w:sz="0" w:space="0" w:color="auto"/>
        <w:bottom w:val="none" w:sz="0" w:space="0" w:color="auto"/>
        <w:right w:val="none" w:sz="0" w:space="0" w:color="auto"/>
      </w:divBdr>
      <w:divsChild>
        <w:div w:id="957830709">
          <w:marLeft w:val="547"/>
          <w:marRight w:val="0"/>
          <w:marTop w:val="0"/>
          <w:marBottom w:val="0"/>
          <w:divBdr>
            <w:top w:val="none" w:sz="0" w:space="0" w:color="auto"/>
            <w:left w:val="none" w:sz="0" w:space="0" w:color="auto"/>
            <w:bottom w:val="none" w:sz="0" w:space="0" w:color="auto"/>
            <w:right w:val="none" w:sz="0" w:space="0" w:color="auto"/>
          </w:divBdr>
        </w:div>
      </w:divsChild>
    </w:div>
    <w:div w:id="1492797178">
      <w:bodyDiv w:val="1"/>
      <w:marLeft w:val="0"/>
      <w:marRight w:val="0"/>
      <w:marTop w:val="0"/>
      <w:marBottom w:val="0"/>
      <w:divBdr>
        <w:top w:val="none" w:sz="0" w:space="0" w:color="auto"/>
        <w:left w:val="none" w:sz="0" w:space="0" w:color="auto"/>
        <w:bottom w:val="none" w:sz="0" w:space="0" w:color="auto"/>
        <w:right w:val="none" w:sz="0" w:space="0" w:color="auto"/>
      </w:divBdr>
    </w:div>
    <w:div w:id="1497041019">
      <w:bodyDiv w:val="1"/>
      <w:marLeft w:val="0"/>
      <w:marRight w:val="0"/>
      <w:marTop w:val="0"/>
      <w:marBottom w:val="0"/>
      <w:divBdr>
        <w:top w:val="none" w:sz="0" w:space="0" w:color="auto"/>
        <w:left w:val="none" w:sz="0" w:space="0" w:color="auto"/>
        <w:bottom w:val="none" w:sz="0" w:space="0" w:color="auto"/>
        <w:right w:val="none" w:sz="0" w:space="0" w:color="auto"/>
      </w:divBdr>
    </w:div>
    <w:div w:id="1524397048">
      <w:bodyDiv w:val="1"/>
      <w:marLeft w:val="0"/>
      <w:marRight w:val="0"/>
      <w:marTop w:val="0"/>
      <w:marBottom w:val="0"/>
      <w:divBdr>
        <w:top w:val="none" w:sz="0" w:space="0" w:color="auto"/>
        <w:left w:val="none" w:sz="0" w:space="0" w:color="auto"/>
        <w:bottom w:val="none" w:sz="0" w:space="0" w:color="auto"/>
        <w:right w:val="none" w:sz="0" w:space="0" w:color="auto"/>
      </w:divBdr>
    </w:div>
    <w:div w:id="1533611949">
      <w:bodyDiv w:val="1"/>
      <w:marLeft w:val="0"/>
      <w:marRight w:val="0"/>
      <w:marTop w:val="0"/>
      <w:marBottom w:val="0"/>
      <w:divBdr>
        <w:top w:val="none" w:sz="0" w:space="0" w:color="auto"/>
        <w:left w:val="none" w:sz="0" w:space="0" w:color="auto"/>
        <w:bottom w:val="none" w:sz="0" w:space="0" w:color="auto"/>
        <w:right w:val="none" w:sz="0" w:space="0" w:color="auto"/>
      </w:divBdr>
    </w:div>
    <w:div w:id="1538660223">
      <w:bodyDiv w:val="1"/>
      <w:marLeft w:val="0"/>
      <w:marRight w:val="0"/>
      <w:marTop w:val="0"/>
      <w:marBottom w:val="0"/>
      <w:divBdr>
        <w:top w:val="none" w:sz="0" w:space="0" w:color="auto"/>
        <w:left w:val="none" w:sz="0" w:space="0" w:color="auto"/>
        <w:bottom w:val="none" w:sz="0" w:space="0" w:color="auto"/>
        <w:right w:val="none" w:sz="0" w:space="0" w:color="auto"/>
      </w:divBdr>
    </w:div>
    <w:div w:id="1562867304">
      <w:bodyDiv w:val="1"/>
      <w:marLeft w:val="0"/>
      <w:marRight w:val="0"/>
      <w:marTop w:val="0"/>
      <w:marBottom w:val="0"/>
      <w:divBdr>
        <w:top w:val="none" w:sz="0" w:space="0" w:color="auto"/>
        <w:left w:val="none" w:sz="0" w:space="0" w:color="auto"/>
        <w:bottom w:val="none" w:sz="0" w:space="0" w:color="auto"/>
        <w:right w:val="none" w:sz="0" w:space="0" w:color="auto"/>
      </w:divBdr>
    </w:div>
    <w:div w:id="1565607197">
      <w:bodyDiv w:val="1"/>
      <w:marLeft w:val="0"/>
      <w:marRight w:val="0"/>
      <w:marTop w:val="0"/>
      <w:marBottom w:val="0"/>
      <w:divBdr>
        <w:top w:val="none" w:sz="0" w:space="0" w:color="auto"/>
        <w:left w:val="none" w:sz="0" w:space="0" w:color="auto"/>
        <w:bottom w:val="none" w:sz="0" w:space="0" w:color="auto"/>
        <w:right w:val="none" w:sz="0" w:space="0" w:color="auto"/>
      </w:divBdr>
    </w:div>
    <w:div w:id="1572034696">
      <w:bodyDiv w:val="1"/>
      <w:marLeft w:val="0"/>
      <w:marRight w:val="0"/>
      <w:marTop w:val="0"/>
      <w:marBottom w:val="0"/>
      <w:divBdr>
        <w:top w:val="none" w:sz="0" w:space="0" w:color="auto"/>
        <w:left w:val="none" w:sz="0" w:space="0" w:color="auto"/>
        <w:bottom w:val="none" w:sz="0" w:space="0" w:color="auto"/>
        <w:right w:val="none" w:sz="0" w:space="0" w:color="auto"/>
      </w:divBdr>
    </w:div>
    <w:div w:id="1655839503">
      <w:bodyDiv w:val="1"/>
      <w:marLeft w:val="0"/>
      <w:marRight w:val="0"/>
      <w:marTop w:val="0"/>
      <w:marBottom w:val="0"/>
      <w:divBdr>
        <w:top w:val="none" w:sz="0" w:space="0" w:color="auto"/>
        <w:left w:val="none" w:sz="0" w:space="0" w:color="auto"/>
        <w:bottom w:val="none" w:sz="0" w:space="0" w:color="auto"/>
        <w:right w:val="none" w:sz="0" w:space="0" w:color="auto"/>
      </w:divBdr>
    </w:div>
    <w:div w:id="1671985424">
      <w:bodyDiv w:val="1"/>
      <w:marLeft w:val="0"/>
      <w:marRight w:val="0"/>
      <w:marTop w:val="0"/>
      <w:marBottom w:val="0"/>
      <w:divBdr>
        <w:top w:val="none" w:sz="0" w:space="0" w:color="auto"/>
        <w:left w:val="none" w:sz="0" w:space="0" w:color="auto"/>
        <w:bottom w:val="none" w:sz="0" w:space="0" w:color="auto"/>
        <w:right w:val="none" w:sz="0" w:space="0" w:color="auto"/>
      </w:divBdr>
    </w:div>
    <w:div w:id="1674257225">
      <w:bodyDiv w:val="1"/>
      <w:marLeft w:val="0"/>
      <w:marRight w:val="0"/>
      <w:marTop w:val="0"/>
      <w:marBottom w:val="0"/>
      <w:divBdr>
        <w:top w:val="none" w:sz="0" w:space="0" w:color="auto"/>
        <w:left w:val="none" w:sz="0" w:space="0" w:color="auto"/>
        <w:bottom w:val="none" w:sz="0" w:space="0" w:color="auto"/>
        <w:right w:val="none" w:sz="0" w:space="0" w:color="auto"/>
      </w:divBdr>
    </w:div>
    <w:div w:id="1676542050">
      <w:bodyDiv w:val="1"/>
      <w:marLeft w:val="0"/>
      <w:marRight w:val="0"/>
      <w:marTop w:val="0"/>
      <w:marBottom w:val="0"/>
      <w:divBdr>
        <w:top w:val="none" w:sz="0" w:space="0" w:color="auto"/>
        <w:left w:val="none" w:sz="0" w:space="0" w:color="auto"/>
        <w:bottom w:val="none" w:sz="0" w:space="0" w:color="auto"/>
        <w:right w:val="none" w:sz="0" w:space="0" w:color="auto"/>
      </w:divBdr>
    </w:div>
    <w:div w:id="1736971634">
      <w:bodyDiv w:val="1"/>
      <w:marLeft w:val="0"/>
      <w:marRight w:val="0"/>
      <w:marTop w:val="0"/>
      <w:marBottom w:val="0"/>
      <w:divBdr>
        <w:top w:val="none" w:sz="0" w:space="0" w:color="auto"/>
        <w:left w:val="none" w:sz="0" w:space="0" w:color="auto"/>
        <w:bottom w:val="none" w:sz="0" w:space="0" w:color="auto"/>
        <w:right w:val="none" w:sz="0" w:space="0" w:color="auto"/>
      </w:divBdr>
    </w:div>
    <w:div w:id="1755205048">
      <w:bodyDiv w:val="1"/>
      <w:marLeft w:val="0"/>
      <w:marRight w:val="0"/>
      <w:marTop w:val="0"/>
      <w:marBottom w:val="0"/>
      <w:divBdr>
        <w:top w:val="none" w:sz="0" w:space="0" w:color="auto"/>
        <w:left w:val="none" w:sz="0" w:space="0" w:color="auto"/>
        <w:bottom w:val="none" w:sz="0" w:space="0" w:color="auto"/>
        <w:right w:val="none" w:sz="0" w:space="0" w:color="auto"/>
      </w:divBdr>
    </w:div>
    <w:div w:id="1772621797">
      <w:bodyDiv w:val="1"/>
      <w:marLeft w:val="0"/>
      <w:marRight w:val="0"/>
      <w:marTop w:val="0"/>
      <w:marBottom w:val="0"/>
      <w:divBdr>
        <w:top w:val="none" w:sz="0" w:space="0" w:color="auto"/>
        <w:left w:val="none" w:sz="0" w:space="0" w:color="auto"/>
        <w:bottom w:val="none" w:sz="0" w:space="0" w:color="auto"/>
        <w:right w:val="none" w:sz="0" w:space="0" w:color="auto"/>
      </w:divBdr>
    </w:div>
    <w:div w:id="1835297589">
      <w:bodyDiv w:val="1"/>
      <w:marLeft w:val="0"/>
      <w:marRight w:val="0"/>
      <w:marTop w:val="0"/>
      <w:marBottom w:val="0"/>
      <w:divBdr>
        <w:top w:val="none" w:sz="0" w:space="0" w:color="auto"/>
        <w:left w:val="none" w:sz="0" w:space="0" w:color="auto"/>
        <w:bottom w:val="none" w:sz="0" w:space="0" w:color="auto"/>
        <w:right w:val="none" w:sz="0" w:space="0" w:color="auto"/>
      </w:divBdr>
    </w:div>
    <w:div w:id="1846046431">
      <w:bodyDiv w:val="1"/>
      <w:marLeft w:val="0"/>
      <w:marRight w:val="0"/>
      <w:marTop w:val="0"/>
      <w:marBottom w:val="0"/>
      <w:divBdr>
        <w:top w:val="none" w:sz="0" w:space="0" w:color="auto"/>
        <w:left w:val="none" w:sz="0" w:space="0" w:color="auto"/>
        <w:bottom w:val="none" w:sz="0" w:space="0" w:color="auto"/>
        <w:right w:val="none" w:sz="0" w:space="0" w:color="auto"/>
      </w:divBdr>
    </w:div>
    <w:div w:id="1906212557">
      <w:bodyDiv w:val="1"/>
      <w:marLeft w:val="0"/>
      <w:marRight w:val="0"/>
      <w:marTop w:val="0"/>
      <w:marBottom w:val="0"/>
      <w:divBdr>
        <w:top w:val="none" w:sz="0" w:space="0" w:color="auto"/>
        <w:left w:val="none" w:sz="0" w:space="0" w:color="auto"/>
        <w:bottom w:val="none" w:sz="0" w:space="0" w:color="auto"/>
        <w:right w:val="none" w:sz="0" w:space="0" w:color="auto"/>
      </w:divBdr>
    </w:div>
    <w:div w:id="1907760317">
      <w:bodyDiv w:val="1"/>
      <w:marLeft w:val="0"/>
      <w:marRight w:val="0"/>
      <w:marTop w:val="0"/>
      <w:marBottom w:val="0"/>
      <w:divBdr>
        <w:top w:val="none" w:sz="0" w:space="0" w:color="auto"/>
        <w:left w:val="none" w:sz="0" w:space="0" w:color="auto"/>
        <w:bottom w:val="none" w:sz="0" w:space="0" w:color="auto"/>
        <w:right w:val="none" w:sz="0" w:space="0" w:color="auto"/>
      </w:divBdr>
    </w:div>
    <w:div w:id="1929382118">
      <w:bodyDiv w:val="1"/>
      <w:marLeft w:val="0"/>
      <w:marRight w:val="0"/>
      <w:marTop w:val="0"/>
      <w:marBottom w:val="0"/>
      <w:divBdr>
        <w:top w:val="none" w:sz="0" w:space="0" w:color="auto"/>
        <w:left w:val="none" w:sz="0" w:space="0" w:color="auto"/>
        <w:bottom w:val="none" w:sz="0" w:space="0" w:color="auto"/>
        <w:right w:val="none" w:sz="0" w:space="0" w:color="auto"/>
      </w:divBdr>
    </w:div>
    <w:div w:id="1954944468">
      <w:bodyDiv w:val="1"/>
      <w:marLeft w:val="0"/>
      <w:marRight w:val="0"/>
      <w:marTop w:val="0"/>
      <w:marBottom w:val="0"/>
      <w:divBdr>
        <w:top w:val="none" w:sz="0" w:space="0" w:color="auto"/>
        <w:left w:val="none" w:sz="0" w:space="0" w:color="auto"/>
        <w:bottom w:val="none" w:sz="0" w:space="0" w:color="auto"/>
        <w:right w:val="none" w:sz="0" w:space="0" w:color="auto"/>
      </w:divBdr>
    </w:div>
    <w:div w:id="1955357078">
      <w:bodyDiv w:val="1"/>
      <w:marLeft w:val="0"/>
      <w:marRight w:val="0"/>
      <w:marTop w:val="0"/>
      <w:marBottom w:val="0"/>
      <w:divBdr>
        <w:top w:val="none" w:sz="0" w:space="0" w:color="auto"/>
        <w:left w:val="none" w:sz="0" w:space="0" w:color="auto"/>
        <w:bottom w:val="none" w:sz="0" w:space="0" w:color="auto"/>
        <w:right w:val="none" w:sz="0" w:space="0" w:color="auto"/>
      </w:divBdr>
    </w:div>
    <w:div w:id="1961110188">
      <w:bodyDiv w:val="1"/>
      <w:marLeft w:val="0"/>
      <w:marRight w:val="0"/>
      <w:marTop w:val="0"/>
      <w:marBottom w:val="0"/>
      <w:divBdr>
        <w:top w:val="none" w:sz="0" w:space="0" w:color="auto"/>
        <w:left w:val="none" w:sz="0" w:space="0" w:color="auto"/>
        <w:bottom w:val="none" w:sz="0" w:space="0" w:color="auto"/>
        <w:right w:val="none" w:sz="0" w:space="0" w:color="auto"/>
      </w:divBdr>
    </w:div>
    <w:div w:id="1984430766">
      <w:bodyDiv w:val="1"/>
      <w:marLeft w:val="0"/>
      <w:marRight w:val="0"/>
      <w:marTop w:val="0"/>
      <w:marBottom w:val="0"/>
      <w:divBdr>
        <w:top w:val="none" w:sz="0" w:space="0" w:color="auto"/>
        <w:left w:val="none" w:sz="0" w:space="0" w:color="auto"/>
        <w:bottom w:val="none" w:sz="0" w:space="0" w:color="auto"/>
        <w:right w:val="none" w:sz="0" w:space="0" w:color="auto"/>
      </w:divBdr>
    </w:div>
    <w:div w:id="2025204285">
      <w:bodyDiv w:val="1"/>
      <w:marLeft w:val="0"/>
      <w:marRight w:val="0"/>
      <w:marTop w:val="0"/>
      <w:marBottom w:val="0"/>
      <w:divBdr>
        <w:top w:val="none" w:sz="0" w:space="0" w:color="auto"/>
        <w:left w:val="none" w:sz="0" w:space="0" w:color="auto"/>
        <w:bottom w:val="none" w:sz="0" w:space="0" w:color="auto"/>
        <w:right w:val="none" w:sz="0" w:space="0" w:color="auto"/>
      </w:divBdr>
    </w:div>
    <w:div w:id="2061396330">
      <w:bodyDiv w:val="1"/>
      <w:marLeft w:val="0"/>
      <w:marRight w:val="0"/>
      <w:marTop w:val="0"/>
      <w:marBottom w:val="0"/>
      <w:divBdr>
        <w:top w:val="none" w:sz="0" w:space="0" w:color="auto"/>
        <w:left w:val="none" w:sz="0" w:space="0" w:color="auto"/>
        <w:bottom w:val="none" w:sz="0" w:space="0" w:color="auto"/>
        <w:right w:val="none" w:sz="0" w:space="0" w:color="auto"/>
      </w:divBdr>
    </w:div>
    <w:div w:id="2070028689">
      <w:bodyDiv w:val="1"/>
      <w:marLeft w:val="0"/>
      <w:marRight w:val="0"/>
      <w:marTop w:val="0"/>
      <w:marBottom w:val="0"/>
      <w:divBdr>
        <w:top w:val="none" w:sz="0" w:space="0" w:color="auto"/>
        <w:left w:val="none" w:sz="0" w:space="0" w:color="auto"/>
        <w:bottom w:val="none" w:sz="0" w:space="0" w:color="auto"/>
        <w:right w:val="none" w:sz="0" w:space="0" w:color="auto"/>
      </w:divBdr>
    </w:div>
    <w:div w:id="2070111008">
      <w:bodyDiv w:val="1"/>
      <w:marLeft w:val="0"/>
      <w:marRight w:val="0"/>
      <w:marTop w:val="0"/>
      <w:marBottom w:val="0"/>
      <w:divBdr>
        <w:top w:val="none" w:sz="0" w:space="0" w:color="auto"/>
        <w:left w:val="none" w:sz="0" w:space="0" w:color="auto"/>
        <w:bottom w:val="none" w:sz="0" w:space="0" w:color="auto"/>
        <w:right w:val="none" w:sz="0" w:space="0" w:color="auto"/>
      </w:divBdr>
    </w:div>
    <w:div w:id="2072842839">
      <w:bodyDiv w:val="1"/>
      <w:marLeft w:val="0"/>
      <w:marRight w:val="0"/>
      <w:marTop w:val="0"/>
      <w:marBottom w:val="0"/>
      <w:divBdr>
        <w:top w:val="none" w:sz="0" w:space="0" w:color="auto"/>
        <w:left w:val="none" w:sz="0" w:space="0" w:color="auto"/>
        <w:bottom w:val="none" w:sz="0" w:space="0" w:color="auto"/>
        <w:right w:val="none" w:sz="0" w:space="0" w:color="auto"/>
      </w:divBdr>
    </w:div>
    <w:div w:id="2100370567">
      <w:bodyDiv w:val="1"/>
      <w:marLeft w:val="0"/>
      <w:marRight w:val="0"/>
      <w:marTop w:val="0"/>
      <w:marBottom w:val="0"/>
      <w:divBdr>
        <w:top w:val="none" w:sz="0" w:space="0" w:color="auto"/>
        <w:left w:val="none" w:sz="0" w:space="0" w:color="auto"/>
        <w:bottom w:val="none" w:sz="0" w:space="0" w:color="auto"/>
        <w:right w:val="none" w:sz="0" w:space="0" w:color="auto"/>
      </w:divBdr>
    </w:div>
    <w:div w:id="2108110376">
      <w:bodyDiv w:val="1"/>
      <w:marLeft w:val="0"/>
      <w:marRight w:val="0"/>
      <w:marTop w:val="0"/>
      <w:marBottom w:val="0"/>
      <w:divBdr>
        <w:top w:val="none" w:sz="0" w:space="0" w:color="auto"/>
        <w:left w:val="none" w:sz="0" w:space="0" w:color="auto"/>
        <w:bottom w:val="none" w:sz="0" w:space="0" w:color="auto"/>
        <w:right w:val="none" w:sz="0" w:space="0" w:color="auto"/>
      </w:divBdr>
    </w:div>
    <w:div w:id="211806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2.xml><?xml version="1.0" encoding="utf-8"?>
<metadata xmlns="http://www.objective.com/ecm/document/metadata/53D26341A57B383EE0540010E0463CCA" version="1.0.0">
  <systemFields>
    <field name="Objective-Id">
      <value order="0">A31337324</value>
    </field>
    <field name="Objective-Title">
      <value order="0">201220_National_CfC_Final_Draft_as issued to TS</value>
    </field>
    <field name="Objective-Description">
      <value order="0"/>
    </field>
    <field name="Objective-CreationStamp">
      <value order="0">2020-12-21T12:11:08Z</value>
    </field>
    <field name="Objective-IsApproved">
      <value order="0">false</value>
    </field>
    <field name="Objective-IsPublished">
      <value order="0">false</value>
    </field>
    <field name="Objective-DatePublished">
      <value order="0"/>
    </field>
    <field name="Objective-ModificationStamp">
      <value order="0">2021-01-13T18:08:38Z</value>
    </field>
    <field name="Objective-Owner">
      <value order="0">Junik, Paul P (U417767)</value>
    </field>
    <field name="Objective-Path">
      <value order="0">Objective Global Folder:SG File Plan:Business and industry:Transport:General:Advice and policy: Transport - general:LATIS - Strategic Transport Planning - Strategic Transport Projects Review (STPR): 2016-2021</value>
    </field>
    <field name="Objective-Parent">
      <value order="0">LATIS - Strategic Transport Planning - Strategic Transport Projects Review (STPR): 2016-2021</value>
    </field>
    <field name="Objective-State">
      <value order="0">Being Drafted</value>
    </field>
    <field name="Objective-VersionId">
      <value order="0">vA45924458</value>
    </field>
    <field name="Objective-Version">
      <value order="0">3.2</value>
    </field>
    <field name="Objective-VersionNumber">
      <value order="0">9</value>
    </field>
    <field name="Objective-VersionComment">
      <value order="0"/>
    </field>
    <field name="Objective-FileNumber">
      <value order="0">POL/24233</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14CA0-6F0D-443C-B7C8-100A14DDA583}">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840E4544-1769-4D13-8833-60183924F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EDD639-E32C-441E-8A9F-A5725D389CAF}">
  <ds:schemaRefs>
    <ds:schemaRef ds:uri="http://schemas.microsoft.com/sharepoint/v3/contenttype/forms"/>
  </ds:schemaRefs>
</ds:datastoreItem>
</file>

<file path=customXml/itemProps5.xml><?xml version="1.0" encoding="utf-8"?>
<ds:datastoreItem xmlns:ds="http://schemas.openxmlformats.org/officeDocument/2006/customXml" ds:itemID="{56BB15BD-C8DB-4735-B523-1376926F4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10</Pages>
  <Words>2040</Words>
  <Characters>11939</Characters>
  <Application>Microsoft Office Word</Application>
  <DocSecurity>0</DocSecurity>
  <Lines>306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Julie.MacFadden@ch2m.com</dc:creator>
  <cp:keywords/>
  <dc:description/>
  <cp:lastModifiedBy>Casey, Joanne</cp:lastModifiedBy>
  <cp:revision>11</cp:revision>
  <cp:lastPrinted>2022-12-07T21:51:00Z</cp:lastPrinted>
  <dcterms:created xsi:type="dcterms:W3CDTF">2022-11-22T01:28:00Z</dcterms:created>
  <dcterms:modified xsi:type="dcterms:W3CDTF">2022-12-07T21:51:00Z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A31337324</vt:lpwstr>
  </property>
  <property fmtid="{D5CDD505-2E9C-101B-9397-08002B2CF9AE}" pid="4" name="Objective-Title">
    <vt:lpwstr>201220_National_CfC_Final_Draft_as issued to TS</vt:lpwstr>
  </property>
  <property fmtid="{D5CDD505-2E9C-101B-9397-08002B2CF9AE}" pid="5" name="Objective-Description">
    <vt:lpwstr/>
  </property>
  <property fmtid="{D5CDD505-2E9C-101B-9397-08002B2CF9AE}" pid="6" name="Objective-CreationStamp">
    <vt:filetime>2020-12-21T12:11:08Z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2021-01-13T18:08:38Z</vt:filetime>
  </property>
  <property fmtid="{D5CDD505-2E9C-101B-9397-08002B2CF9AE}" pid="11" name="Objective-Owner">
    <vt:lpwstr>Junik, Paul P (U417767)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2016-2021</vt:lpwstr>
  </property>
  <property fmtid="{D5CDD505-2E9C-101B-9397-08002B2CF9AE}" pid="13" name="Objective-Parent">
    <vt:lpwstr>LATIS - Strategic Transport Planning - Strategic Transport Projects Review (STPR): 2016-2021</vt:lpwstr>
  </property>
  <property fmtid="{D5CDD505-2E9C-101B-9397-08002B2CF9AE}" pid="14" name="Objective-State">
    <vt:lpwstr>Being Drafted</vt:lpwstr>
  </property>
  <property fmtid="{D5CDD505-2E9C-101B-9397-08002B2CF9AE}" pid="15" name="Objective-VersionId">
    <vt:lpwstr>vA45924458</vt:lpwstr>
  </property>
  <property fmtid="{D5CDD505-2E9C-101B-9397-08002B2CF9AE}" pid="16" name="Objective-Version">
    <vt:lpwstr>3.2</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POL/24233</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y fmtid="{D5CDD505-2E9C-101B-9397-08002B2CF9AE}" pid="29" name="MediaServiceImageTags">
    <vt:lpwstr/>
  </property>
</Properties>
</file>